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E8FD" w14:textId="73A920EF" w:rsidR="00513F93" w:rsidRDefault="00F25355" w:rsidP="006E6319">
      <w:pPr>
        <w:spacing w:after="0"/>
        <w:jc w:val="center"/>
        <w:rPr>
          <w:rFonts w:ascii="Times New Roman" w:eastAsia="Times New Roman" w:hAnsi="Times New Roman" w:cs="Times New Roman"/>
          <w:b/>
          <w:bCs/>
          <w:sz w:val="32"/>
          <w:szCs w:val="32"/>
        </w:rPr>
      </w:pPr>
      <w:bookmarkStart w:id="0" w:name="_Hlk142921183"/>
      <w:r w:rsidRPr="00F25355">
        <w:rPr>
          <w:rFonts w:ascii="Times New Roman" w:eastAsia="Times New Roman" w:hAnsi="Times New Roman" w:cs="Times New Roman"/>
          <w:b/>
          <w:bCs/>
          <w:sz w:val="32"/>
          <w:szCs w:val="32"/>
        </w:rPr>
        <w:t>The Influence Of The Loan-To-Deposit Ratio On The Return On Assets In Banking Companies Listed On The Indonesian Stock Exchange During The Period 2015-2019</w:t>
      </w:r>
    </w:p>
    <w:p w14:paraId="3D81AD28" w14:textId="41157092" w:rsidR="000D7F45" w:rsidRPr="00F25355" w:rsidRDefault="00F25355" w:rsidP="006E6319">
      <w:pPr>
        <w:spacing w:after="0"/>
        <w:jc w:val="center"/>
        <w:rPr>
          <w:rFonts w:ascii="Times New Roman" w:hAnsi="Times New Roman" w:cs="Times New Roman"/>
          <w:b/>
          <w:sz w:val="20"/>
          <w:szCs w:val="20"/>
          <w:vertAlign w:val="superscript"/>
        </w:rPr>
      </w:pPr>
      <w:r w:rsidRPr="00F25355">
        <w:rPr>
          <w:rFonts w:ascii="Times New Roman" w:hAnsi="Times New Roman" w:cs="Times New Roman"/>
          <w:b/>
          <w:sz w:val="20"/>
          <w:szCs w:val="20"/>
        </w:rPr>
        <w:t>Alfi Maghfuriyah</w:t>
      </w:r>
      <w:r w:rsidRPr="00F25355">
        <w:rPr>
          <w:rFonts w:ascii="Times New Roman" w:hAnsi="Times New Roman" w:cs="Times New Roman"/>
          <w:b/>
          <w:sz w:val="20"/>
          <w:szCs w:val="20"/>
          <w:vertAlign w:val="superscript"/>
        </w:rPr>
        <w:t>1</w:t>
      </w:r>
      <w:r w:rsidRPr="00F25355">
        <w:rPr>
          <w:rFonts w:ascii="Times New Roman" w:hAnsi="Times New Roman" w:cs="Times New Roman"/>
          <w:b/>
          <w:sz w:val="20"/>
          <w:szCs w:val="20"/>
        </w:rPr>
        <w:t>, Ayu Intan Permata Sari</w:t>
      </w:r>
      <w:r w:rsidRPr="00F25355">
        <w:rPr>
          <w:rFonts w:ascii="Times New Roman" w:hAnsi="Times New Roman" w:cs="Times New Roman"/>
          <w:b/>
          <w:sz w:val="20"/>
          <w:szCs w:val="20"/>
          <w:vertAlign w:val="superscript"/>
        </w:rPr>
        <w:t>2</w:t>
      </w:r>
      <w:r w:rsidRPr="00F25355">
        <w:rPr>
          <w:rFonts w:ascii="Times New Roman" w:hAnsi="Times New Roman" w:cs="Times New Roman"/>
          <w:b/>
          <w:sz w:val="20"/>
          <w:szCs w:val="20"/>
        </w:rPr>
        <w:t>, Nurjaya</w:t>
      </w:r>
      <w:r w:rsidRPr="00F25355">
        <w:rPr>
          <w:rFonts w:ascii="Times New Roman" w:hAnsi="Times New Roman" w:cs="Times New Roman"/>
          <w:b/>
          <w:sz w:val="20"/>
          <w:szCs w:val="20"/>
          <w:vertAlign w:val="superscript"/>
        </w:rPr>
        <w:t>3</w:t>
      </w:r>
      <w:r w:rsidRPr="00F25355">
        <w:rPr>
          <w:rFonts w:ascii="Times New Roman" w:hAnsi="Times New Roman" w:cs="Times New Roman"/>
          <w:b/>
          <w:sz w:val="20"/>
          <w:szCs w:val="20"/>
        </w:rPr>
        <w:t>, Teddy Setiawan</w:t>
      </w:r>
      <w:r w:rsidRPr="00F25355">
        <w:rPr>
          <w:rFonts w:ascii="Times New Roman" w:hAnsi="Times New Roman" w:cs="Times New Roman"/>
          <w:b/>
          <w:sz w:val="20"/>
          <w:szCs w:val="20"/>
          <w:vertAlign w:val="superscript"/>
        </w:rPr>
        <w:t>4</w:t>
      </w:r>
    </w:p>
    <w:p w14:paraId="7458BDFD" w14:textId="45FEAD0B" w:rsidR="00F46C40" w:rsidRPr="00943198" w:rsidRDefault="000D7F45" w:rsidP="000D7F45">
      <w:pPr>
        <w:spacing w:after="0"/>
        <w:jc w:val="center"/>
        <w:rPr>
          <w:rFonts w:ascii="Times New Roman" w:hAnsi="Times New Roman" w:cs="Times New Roman"/>
          <w:sz w:val="18"/>
          <w:szCs w:val="18"/>
        </w:rPr>
      </w:pPr>
      <w:r w:rsidRPr="00943198">
        <w:rPr>
          <w:rFonts w:ascii="Times New Roman" w:hAnsi="Times New Roman" w:cs="Times New Roman"/>
          <w:sz w:val="18"/>
          <w:szCs w:val="18"/>
          <w:vertAlign w:val="superscript"/>
        </w:rPr>
        <w:t>1</w:t>
      </w:r>
      <w:r w:rsidR="00891CEE">
        <w:rPr>
          <w:rFonts w:ascii="Times New Roman" w:hAnsi="Times New Roman" w:cs="Times New Roman"/>
          <w:sz w:val="18"/>
          <w:szCs w:val="18"/>
          <w:vertAlign w:val="superscript"/>
        </w:rPr>
        <w:t>,2,3,4</w:t>
      </w:r>
      <w:r w:rsidR="008911A2">
        <w:rPr>
          <w:rFonts w:ascii="Times New Roman" w:hAnsi="Times New Roman" w:cs="Times New Roman"/>
          <w:sz w:val="18"/>
          <w:szCs w:val="18"/>
          <w:vertAlign w:val="superscript"/>
        </w:rPr>
        <w:t xml:space="preserve"> </w:t>
      </w:r>
      <w:r w:rsidR="00513F93" w:rsidRPr="00513F93">
        <w:rPr>
          <w:rFonts w:ascii="Times New Roman" w:hAnsi="Times New Roman" w:cs="Times New Roman"/>
          <w:sz w:val="18"/>
          <w:szCs w:val="18"/>
        </w:rPr>
        <w:t>Universit</w:t>
      </w:r>
      <w:r w:rsidR="00513F93">
        <w:rPr>
          <w:rFonts w:ascii="Times New Roman" w:hAnsi="Times New Roman" w:cs="Times New Roman"/>
          <w:sz w:val="18"/>
          <w:szCs w:val="18"/>
        </w:rPr>
        <w:t>y</w:t>
      </w:r>
      <w:r w:rsidR="00513F93" w:rsidRPr="00513F93">
        <w:rPr>
          <w:rFonts w:ascii="Times New Roman" w:hAnsi="Times New Roman" w:cs="Times New Roman"/>
          <w:sz w:val="18"/>
          <w:szCs w:val="18"/>
        </w:rPr>
        <w:t xml:space="preserve"> </w:t>
      </w:r>
      <w:r w:rsidR="00F25355">
        <w:rPr>
          <w:rFonts w:ascii="Times New Roman" w:hAnsi="Times New Roman" w:cs="Times New Roman"/>
          <w:sz w:val="18"/>
          <w:szCs w:val="18"/>
        </w:rPr>
        <w:t>of Global Jakarta</w:t>
      </w:r>
    </w:p>
    <w:p w14:paraId="3DE352B3" w14:textId="2ED20C8A" w:rsidR="007C6543" w:rsidRPr="00803B7C" w:rsidRDefault="007C6543" w:rsidP="007C6543">
      <w:pPr>
        <w:jc w:val="center"/>
        <w:rPr>
          <w:rFonts w:ascii="Times New Roman" w:hAnsi="Times New Roman" w:cs="Times New Roman"/>
          <w:sz w:val="20"/>
          <w:szCs w:val="20"/>
        </w:rPr>
      </w:pPr>
      <w:r>
        <w:rPr>
          <w:noProof/>
        </w:rPr>
        <mc:AlternateContent>
          <mc:Choice Requires="wps">
            <w:drawing>
              <wp:anchor distT="0" distB="0" distL="114300" distR="114300" simplePos="0" relativeHeight="251665408" behindDoc="0" locked="0" layoutInCell="1" allowOverlap="1" wp14:anchorId="5238D326" wp14:editId="070D9321">
                <wp:simplePos x="0" y="0"/>
                <wp:positionH relativeFrom="column">
                  <wp:posOffset>0</wp:posOffset>
                </wp:positionH>
                <wp:positionV relativeFrom="paragraph">
                  <wp:posOffset>162560</wp:posOffset>
                </wp:positionV>
                <wp:extent cx="5954395" cy="1905"/>
                <wp:effectExtent l="0" t="0" r="27305" b="361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439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40FAB"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8pt" to="468.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" strokecolor="black [3200]" strokeweight=".5pt">
                <v:stroke joinstyle="miter"/>
                <o:lock v:ext="edit" shapetype="f"/>
              </v:line>
            </w:pict>
          </mc:Fallback>
        </mc:AlternateContent>
      </w:r>
    </w:p>
    <w:p w14:paraId="54E872F8" w14:textId="0AD96B27" w:rsidR="007C6543" w:rsidRPr="00150938" w:rsidRDefault="007C6543" w:rsidP="00F90265">
      <w:pPr>
        <w:tabs>
          <w:tab w:val="decimal" w:pos="3686"/>
        </w:tabs>
        <w:jc w:val="both"/>
        <w:rPr>
          <w:rFonts w:ascii="Times New Roman" w:hAnsi="Times New Roman" w:cs="Times New Roman"/>
          <w:b/>
          <w:bCs/>
          <w:sz w:val="20"/>
          <w:szCs w:val="20"/>
        </w:rPr>
      </w:pPr>
      <w:r w:rsidRPr="00150938">
        <w:rPr>
          <w:noProof/>
        </w:rPr>
        <mc:AlternateContent>
          <mc:Choice Requires="wps">
            <w:drawing>
              <wp:anchor distT="4294967295" distB="4294967295" distL="114300" distR="114300" simplePos="0" relativeHeight="251667456" behindDoc="0" locked="0" layoutInCell="1" allowOverlap="1" wp14:anchorId="69093AE2" wp14:editId="617B7F68">
                <wp:simplePos x="0" y="0"/>
                <wp:positionH relativeFrom="column">
                  <wp:posOffset>0</wp:posOffset>
                </wp:positionH>
                <wp:positionV relativeFrom="paragraph">
                  <wp:posOffset>156844</wp:posOffset>
                </wp:positionV>
                <wp:extent cx="179705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119139" id="Straight Connector 1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35pt" to="14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" strokecolor="black [3200]" strokeweight=".5pt">
                <v:stroke joinstyle="miter"/>
                <o:lock v:ext="edit" shapetype="f"/>
              </v:line>
            </w:pict>
          </mc:Fallback>
        </mc:AlternateContent>
      </w:r>
      <w:r w:rsidRPr="00150938">
        <w:rPr>
          <w:noProof/>
        </w:rPr>
        <mc:AlternateContent>
          <mc:Choice Requires="wps">
            <w:drawing>
              <wp:anchor distT="4294967295" distB="4294967295" distL="114300" distR="114300" simplePos="0" relativeHeight="251666432" behindDoc="0" locked="0" layoutInCell="1" allowOverlap="1" wp14:anchorId="2224E764" wp14:editId="7DCA5458">
                <wp:simplePos x="0" y="0"/>
                <wp:positionH relativeFrom="column">
                  <wp:posOffset>2125980</wp:posOffset>
                </wp:positionH>
                <wp:positionV relativeFrom="paragraph">
                  <wp:posOffset>156844</wp:posOffset>
                </wp:positionV>
                <wp:extent cx="382714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27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66B92" id="Straight Connector 1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4pt,12.35pt" to="468.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" strokecolor="black [3200]" strokeweight=".5pt">
                <v:stroke joinstyle="miter"/>
                <o:lock v:ext="edit" shapetype="f"/>
              </v:line>
            </w:pict>
          </mc:Fallback>
        </mc:AlternateContent>
      </w:r>
      <w:r w:rsidR="00F90265" w:rsidRPr="00150938">
        <w:rPr>
          <w:rFonts w:ascii="Times New Roman" w:hAnsi="Times New Roman" w:cs="Times New Roman"/>
          <w:b/>
          <w:bCs/>
          <w:sz w:val="20"/>
          <w:szCs w:val="20"/>
        </w:rPr>
        <w:t xml:space="preserve">Article Information                                </w:t>
      </w:r>
      <w:r w:rsidRPr="00150938">
        <w:rPr>
          <w:rFonts w:ascii="Times New Roman" w:hAnsi="Times New Roman" w:cs="Times New Roman"/>
          <w:b/>
          <w:bCs/>
          <w:sz w:val="20"/>
          <w:szCs w:val="20"/>
        </w:rPr>
        <w:t>ABSTRAC</w:t>
      </w:r>
      <w:r w:rsidR="00B9253F" w:rsidRPr="00150938">
        <w:rPr>
          <w:rFonts w:ascii="Times New Roman" w:hAnsi="Times New Roman" w:cs="Times New Roman"/>
          <w:b/>
          <w:bCs/>
          <w:sz w:val="20"/>
          <w:szCs w:val="20"/>
        </w:rPr>
        <w:t>T</w:t>
      </w:r>
    </w:p>
    <w:p w14:paraId="748F7B0B" w14:textId="77777777" w:rsidR="007C6543" w:rsidRPr="00150938" w:rsidRDefault="007C6543" w:rsidP="007C6543">
      <w:pPr>
        <w:jc w:val="both"/>
        <w:rPr>
          <w:rFonts w:ascii="Times New Roman" w:hAnsi="Times New Roman" w:cs="Times New Roman"/>
          <w:sz w:val="20"/>
          <w:szCs w:val="20"/>
        </w:rPr>
        <w:sectPr w:rsidR="007C6543" w:rsidRPr="00150938" w:rsidSect="00003D56">
          <w:headerReference w:type="default" r:id="rId7"/>
          <w:footerReference w:type="default" r:id="rId8"/>
          <w:headerReference w:type="first" r:id="rId9"/>
          <w:footerReference w:type="first" r:id="rId10"/>
          <w:pgSz w:w="12240" w:h="15840"/>
          <w:pgMar w:top="1440" w:right="1440" w:bottom="1440" w:left="1440" w:header="720" w:footer="720" w:gutter="0"/>
          <w:pgNumType w:start="245"/>
          <w:cols w:space="720"/>
          <w:titlePg/>
          <w:docGrid w:linePitch="360"/>
        </w:sectPr>
      </w:pPr>
    </w:p>
    <w:p w14:paraId="6BEEA5C7" w14:textId="7B8ACF50" w:rsidR="00F90265" w:rsidRPr="00150938" w:rsidRDefault="00F90265" w:rsidP="007C6543">
      <w:pPr>
        <w:spacing w:after="0" w:line="240" w:lineRule="auto"/>
        <w:jc w:val="both"/>
        <w:rPr>
          <w:rFonts w:ascii="Times New Roman" w:hAnsi="Times New Roman" w:cs="Times New Roman"/>
          <w:b/>
          <w:bCs/>
          <w:i/>
          <w:iCs/>
          <w:sz w:val="20"/>
          <w:szCs w:val="20"/>
        </w:rPr>
      </w:pPr>
      <w:r w:rsidRPr="00150938">
        <w:rPr>
          <w:rFonts w:ascii="Times New Roman" w:hAnsi="Times New Roman" w:cs="Times New Roman"/>
          <w:b/>
          <w:bCs/>
          <w:i/>
          <w:iCs/>
          <w:sz w:val="20"/>
          <w:szCs w:val="20"/>
        </w:rPr>
        <w:t>Article History:</w:t>
      </w:r>
    </w:p>
    <w:p w14:paraId="11F63025" w14:textId="77777777" w:rsidR="00F90265" w:rsidRPr="00150938" w:rsidRDefault="00F90265" w:rsidP="007C6543">
      <w:pPr>
        <w:spacing w:after="0" w:line="240" w:lineRule="auto"/>
        <w:jc w:val="both"/>
        <w:rPr>
          <w:rFonts w:ascii="Times New Roman" w:hAnsi="Times New Roman" w:cs="Times New Roman"/>
          <w:b/>
          <w:bCs/>
          <w:i/>
          <w:iCs/>
          <w:sz w:val="20"/>
          <w:szCs w:val="20"/>
        </w:rPr>
      </w:pPr>
    </w:p>
    <w:p w14:paraId="51786246" w14:textId="746479F4" w:rsidR="00F90265" w:rsidRPr="00150938" w:rsidRDefault="00F90265" w:rsidP="007C6543">
      <w:pPr>
        <w:spacing w:after="0" w:line="240" w:lineRule="auto"/>
        <w:jc w:val="both"/>
        <w:rPr>
          <w:rFonts w:ascii="Times New Roman" w:hAnsi="Times New Roman" w:cs="Times New Roman"/>
          <w:sz w:val="20"/>
          <w:szCs w:val="20"/>
        </w:rPr>
      </w:pPr>
      <w:r w:rsidRPr="00150938">
        <w:rPr>
          <w:rFonts w:ascii="Times New Roman" w:hAnsi="Times New Roman" w:cs="Times New Roman"/>
          <w:sz w:val="20"/>
          <w:szCs w:val="20"/>
        </w:rPr>
        <w:t xml:space="preserve">Received, </w:t>
      </w:r>
      <w:r w:rsidR="00175B5D" w:rsidRPr="00150938">
        <w:rPr>
          <w:rFonts w:ascii="Times New Roman" w:hAnsi="Times New Roman" w:cs="Times New Roman"/>
          <w:sz w:val="20"/>
          <w:szCs w:val="20"/>
        </w:rPr>
        <w:t>November 2</w:t>
      </w:r>
      <w:r w:rsidR="00175B5D" w:rsidRPr="00150938">
        <w:rPr>
          <w:rFonts w:ascii="Times New Roman" w:hAnsi="Times New Roman" w:cs="Times New Roman"/>
          <w:sz w:val="20"/>
          <w:szCs w:val="20"/>
          <w:vertAlign w:val="superscript"/>
        </w:rPr>
        <w:t>nd</w:t>
      </w:r>
      <w:r w:rsidR="00175B5D" w:rsidRPr="00150938">
        <w:rPr>
          <w:rFonts w:ascii="Times New Roman" w:hAnsi="Times New Roman" w:cs="Times New Roman"/>
          <w:sz w:val="20"/>
          <w:szCs w:val="20"/>
        </w:rPr>
        <w:t>, 2023</w:t>
      </w:r>
    </w:p>
    <w:p w14:paraId="2A9A57C8" w14:textId="7920EE48" w:rsidR="00F90265" w:rsidRPr="00150938" w:rsidRDefault="00F90265" w:rsidP="007C6543">
      <w:pPr>
        <w:spacing w:after="0" w:line="240" w:lineRule="auto"/>
        <w:jc w:val="both"/>
        <w:rPr>
          <w:rFonts w:ascii="Times New Roman" w:hAnsi="Times New Roman" w:cs="Times New Roman"/>
          <w:sz w:val="20"/>
          <w:szCs w:val="20"/>
        </w:rPr>
      </w:pPr>
      <w:r w:rsidRPr="00150938">
        <w:rPr>
          <w:rFonts w:ascii="Times New Roman" w:hAnsi="Times New Roman" w:cs="Times New Roman"/>
          <w:sz w:val="20"/>
          <w:szCs w:val="20"/>
        </w:rPr>
        <w:t xml:space="preserve">Revised, </w:t>
      </w:r>
      <w:r w:rsidR="00175B5D" w:rsidRPr="00150938">
        <w:rPr>
          <w:rFonts w:ascii="Times New Roman" w:hAnsi="Times New Roman" w:cs="Times New Roman"/>
          <w:sz w:val="20"/>
          <w:szCs w:val="20"/>
        </w:rPr>
        <w:t>November 1</w:t>
      </w:r>
      <w:r w:rsidR="00E01E7C">
        <w:rPr>
          <w:rFonts w:ascii="Times New Roman" w:hAnsi="Times New Roman" w:cs="Times New Roman"/>
          <w:sz w:val="20"/>
          <w:szCs w:val="20"/>
        </w:rPr>
        <w:t>7</w:t>
      </w:r>
      <w:r w:rsidR="00175B5D" w:rsidRPr="00150938">
        <w:rPr>
          <w:rFonts w:ascii="Times New Roman" w:hAnsi="Times New Roman" w:cs="Times New Roman"/>
          <w:sz w:val="20"/>
          <w:szCs w:val="20"/>
          <w:vertAlign w:val="superscript"/>
        </w:rPr>
        <w:t>th</w:t>
      </w:r>
      <w:r w:rsidR="00175B5D" w:rsidRPr="00150938">
        <w:rPr>
          <w:rFonts w:ascii="Times New Roman" w:hAnsi="Times New Roman" w:cs="Times New Roman"/>
          <w:sz w:val="20"/>
          <w:szCs w:val="20"/>
        </w:rPr>
        <w:t>, 2023</w:t>
      </w:r>
    </w:p>
    <w:p w14:paraId="3AB76993" w14:textId="6B3D3700" w:rsidR="00F90265" w:rsidRPr="00150938" w:rsidRDefault="00F90265" w:rsidP="007C6543">
      <w:pPr>
        <w:spacing w:after="0" w:line="240" w:lineRule="auto"/>
        <w:jc w:val="both"/>
        <w:rPr>
          <w:rFonts w:ascii="Times New Roman" w:hAnsi="Times New Roman" w:cs="Times New Roman"/>
          <w:sz w:val="20"/>
          <w:szCs w:val="20"/>
        </w:rPr>
      </w:pPr>
      <w:r w:rsidRPr="00150938">
        <w:rPr>
          <w:rFonts w:ascii="Times New Roman" w:hAnsi="Times New Roman" w:cs="Times New Roman"/>
          <w:sz w:val="20"/>
          <w:szCs w:val="20"/>
        </w:rPr>
        <w:t xml:space="preserve">Accepted, </w:t>
      </w:r>
      <w:r w:rsidR="00175B5D" w:rsidRPr="00150938">
        <w:rPr>
          <w:rFonts w:ascii="Times New Roman" w:hAnsi="Times New Roman" w:cs="Times New Roman"/>
          <w:sz w:val="20"/>
          <w:szCs w:val="20"/>
        </w:rPr>
        <w:t xml:space="preserve">November </w:t>
      </w:r>
      <w:r w:rsidR="00E01E7C">
        <w:rPr>
          <w:rFonts w:ascii="Times New Roman" w:hAnsi="Times New Roman" w:cs="Times New Roman"/>
          <w:sz w:val="20"/>
          <w:szCs w:val="20"/>
        </w:rPr>
        <w:t>20</w:t>
      </w:r>
      <w:r w:rsidR="00175B5D" w:rsidRPr="00150938">
        <w:rPr>
          <w:rFonts w:ascii="Times New Roman" w:hAnsi="Times New Roman" w:cs="Times New Roman"/>
          <w:sz w:val="20"/>
          <w:szCs w:val="20"/>
          <w:vertAlign w:val="superscript"/>
        </w:rPr>
        <w:t>th</w:t>
      </w:r>
      <w:r w:rsidR="00175B5D" w:rsidRPr="00150938">
        <w:rPr>
          <w:rFonts w:ascii="Times New Roman" w:hAnsi="Times New Roman" w:cs="Times New Roman"/>
          <w:sz w:val="20"/>
          <w:szCs w:val="20"/>
        </w:rPr>
        <w:t>, 2023</w:t>
      </w:r>
    </w:p>
    <w:p w14:paraId="46AD5F56" w14:textId="77777777" w:rsidR="00F90265" w:rsidRPr="00150938" w:rsidRDefault="00F90265" w:rsidP="00175B5D">
      <w:pPr>
        <w:pBdr>
          <w:bottom w:val="single" w:sz="4" w:space="1" w:color="auto"/>
        </w:pBdr>
        <w:spacing w:after="0" w:line="240" w:lineRule="auto"/>
        <w:jc w:val="both"/>
        <w:rPr>
          <w:rFonts w:ascii="Times New Roman" w:hAnsi="Times New Roman" w:cs="Times New Roman"/>
          <w:b/>
          <w:bCs/>
          <w:sz w:val="20"/>
          <w:szCs w:val="20"/>
        </w:rPr>
      </w:pPr>
    </w:p>
    <w:p w14:paraId="3B90EB12" w14:textId="77777777" w:rsidR="00175B5D" w:rsidRPr="00150938" w:rsidRDefault="00175B5D" w:rsidP="007C6543">
      <w:pPr>
        <w:spacing w:after="0" w:line="240" w:lineRule="auto"/>
        <w:jc w:val="both"/>
        <w:rPr>
          <w:rFonts w:ascii="Times New Roman" w:hAnsi="Times New Roman" w:cs="Times New Roman"/>
          <w:b/>
          <w:bCs/>
          <w:sz w:val="20"/>
          <w:szCs w:val="20"/>
        </w:rPr>
      </w:pPr>
    </w:p>
    <w:p w14:paraId="3F7044DD" w14:textId="08C796BE" w:rsidR="007C6543" w:rsidRPr="00150938" w:rsidRDefault="007C6543" w:rsidP="007C6543">
      <w:pPr>
        <w:spacing w:after="0" w:line="240" w:lineRule="auto"/>
        <w:jc w:val="both"/>
        <w:rPr>
          <w:rFonts w:ascii="Times New Roman" w:hAnsi="Times New Roman" w:cs="Times New Roman"/>
          <w:b/>
          <w:bCs/>
          <w:sz w:val="20"/>
          <w:szCs w:val="20"/>
        </w:rPr>
      </w:pPr>
      <w:r w:rsidRPr="00150938">
        <w:rPr>
          <w:rFonts w:ascii="Times New Roman" w:hAnsi="Times New Roman" w:cs="Times New Roman"/>
          <w:b/>
          <w:bCs/>
          <w:sz w:val="20"/>
          <w:szCs w:val="20"/>
        </w:rPr>
        <w:t>Corresponding Author</w:t>
      </w:r>
    </w:p>
    <w:p w14:paraId="25AB80EE" w14:textId="77777777" w:rsidR="00F90265" w:rsidRPr="00150938" w:rsidRDefault="00F90265" w:rsidP="00513F93">
      <w:pPr>
        <w:spacing w:after="0" w:line="240" w:lineRule="auto"/>
        <w:rPr>
          <w:rFonts w:ascii="Times New Roman" w:hAnsi="Times New Roman" w:cs="Times New Roman"/>
          <w:sz w:val="20"/>
          <w:szCs w:val="20"/>
        </w:rPr>
      </w:pPr>
    </w:p>
    <w:p w14:paraId="5CD29E75" w14:textId="4BA97F5F" w:rsidR="00513F93" w:rsidRPr="00150938" w:rsidRDefault="00891CEE" w:rsidP="00513F93">
      <w:pPr>
        <w:spacing w:after="0" w:line="240" w:lineRule="auto"/>
        <w:rPr>
          <w:rFonts w:ascii="Times New Roman" w:hAnsi="Times New Roman" w:cs="Times New Roman"/>
          <w:b/>
          <w:bCs/>
          <w:sz w:val="20"/>
          <w:szCs w:val="20"/>
        </w:rPr>
      </w:pPr>
      <w:r w:rsidRPr="00150938">
        <w:rPr>
          <w:rFonts w:ascii="Times New Roman" w:hAnsi="Times New Roman" w:cs="Times New Roman"/>
          <w:b/>
          <w:bCs/>
          <w:sz w:val="20"/>
          <w:szCs w:val="20"/>
        </w:rPr>
        <w:t>Alfi Maghfuriyah,</w:t>
      </w:r>
    </w:p>
    <w:p w14:paraId="3FA1BDFB" w14:textId="46EAF06C" w:rsidR="00513F93" w:rsidRPr="00150938" w:rsidRDefault="00513F93" w:rsidP="00513F93">
      <w:pPr>
        <w:spacing w:after="0" w:line="240" w:lineRule="auto"/>
        <w:rPr>
          <w:rFonts w:ascii="Times New Roman" w:hAnsi="Times New Roman" w:cs="Times New Roman"/>
          <w:sz w:val="20"/>
          <w:szCs w:val="20"/>
        </w:rPr>
      </w:pPr>
      <w:r w:rsidRPr="00150938">
        <w:rPr>
          <w:rFonts w:ascii="Times New Roman" w:hAnsi="Times New Roman" w:cs="Times New Roman"/>
          <w:sz w:val="20"/>
          <w:szCs w:val="20"/>
        </w:rPr>
        <w:t xml:space="preserve">University of </w:t>
      </w:r>
      <w:r w:rsidR="00891CEE" w:rsidRPr="00150938">
        <w:rPr>
          <w:rFonts w:ascii="Times New Roman" w:hAnsi="Times New Roman" w:cs="Times New Roman"/>
          <w:sz w:val="20"/>
          <w:szCs w:val="20"/>
        </w:rPr>
        <w:t>Global Jakarta,</w:t>
      </w:r>
    </w:p>
    <w:p w14:paraId="3B03FA83" w14:textId="4432B733" w:rsidR="00513F93" w:rsidRPr="00150938" w:rsidRDefault="00891CEE" w:rsidP="00513F93">
      <w:pPr>
        <w:spacing w:after="0" w:line="240" w:lineRule="auto"/>
        <w:rPr>
          <w:rFonts w:ascii="Times New Roman" w:hAnsi="Times New Roman" w:cs="Times New Roman"/>
          <w:sz w:val="20"/>
          <w:szCs w:val="20"/>
        </w:rPr>
      </w:pPr>
      <w:r w:rsidRPr="00150938">
        <w:rPr>
          <w:rFonts w:ascii="Times New Roman" w:hAnsi="Times New Roman" w:cs="Times New Roman"/>
          <w:sz w:val="20"/>
          <w:szCs w:val="20"/>
        </w:rPr>
        <w:t>Depok</w:t>
      </w:r>
      <w:r w:rsidR="00513F93" w:rsidRPr="00150938">
        <w:rPr>
          <w:rFonts w:ascii="Times New Roman" w:hAnsi="Times New Roman" w:cs="Times New Roman"/>
          <w:sz w:val="20"/>
          <w:szCs w:val="20"/>
        </w:rPr>
        <w:t>, Indonesia.</w:t>
      </w:r>
    </w:p>
    <w:p w14:paraId="00F353AA" w14:textId="77777777" w:rsidR="000B540C" w:rsidRPr="00150938" w:rsidRDefault="000B540C" w:rsidP="00513F93">
      <w:pPr>
        <w:spacing w:after="0" w:line="240" w:lineRule="auto"/>
        <w:rPr>
          <w:rFonts w:ascii="Times New Roman" w:hAnsi="Times New Roman" w:cs="Times New Roman"/>
          <w:sz w:val="20"/>
          <w:szCs w:val="20"/>
        </w:rPr>
      </w:pPr>
    </w:p>
    <w:p w14:paraId="22AE372D" w14:textId="0C890E39" w:rsidR="00513F93" w:rsidRPr="00150938" w:rsidRDefault="00513F93" w:rsidP="00513F93">
      <w:pPr>
        <w:spacing w:after="0" w:line="240" w:lineRule="auto"/>
        <w:rPr>
          <w:rFonts w:ascii="Times New Roman" w:hAnsi="Times New Roman" w:cs="Times New Roman"/>
          <w:sz w:val="20"/>
          <w:szCs w:val="20"/>
        </w:rPr>
      </w:pPr>
      <w:r w:rsidRPr="00150938">
        <w:rPr>
          <w:rFonts w:ascii="Times New Roman" w:hAnsi="Times New Roman" w:cs="Times New Roman"/>
          <w:sz w:val="20"/>
          <w:szCs w:val="20"/>
        </w:rPr>
        <w:t xml:space="preserve">Email: </w:t>
      </w:r>
    </w:p>
    <w:p w14:paraId="1241DB49" w14:textId="0E0741F4" w:rsidR="007C6543" w:rsidRPr="00175B5D" w:rsidRDefault="008B1757" w:rsidP="00513F93">
      <w:pPr>
        <w:spacing w:after="0" w:line="240" w:lineRule="auto"/>
        <w:rPr>
          <w:rFonts w:ascii="Times New Roman" w:hAnsi="Times New Roman" w:cs="Times New Roman"/>
          <w:sz w:val="19"/>
          <w:szCs w:val="19"/>
        </w:rPr>
      </w:pPr>
      <w:hyperlink r:id="rId11" w:history="1">
        <w:r w:rsidR="00150938" w:rsidRPr="00150938">
          <w:rPr>
            <w:rStyle w:val="Hyperlink"/>
            <w:rFonts w:ascii="Times New Roman" w:hAnsi="Times New Roman" w:cs="Times New Roman"/>
            <w:sz w:val="19"/>
            <w:szCs w:val="19"/>
          </w:rPr>
          <w:t>alfi@jgu.ac.id</w:t>
        </w:r>
      </w:hyperlink>
      <w:r w:rsidR="00891CEE">
        <w:rPr>
          <w:rStyle w:val="Hyperlink"/>
          <w:rFonts w:ascii="Times New Roman" w:hAnsi="Times New Roman" w:cs="Times New Roman"/>
          <w:sz w:val="19"/>
          <w:szCs w:val="19"/>
        </w:rPr>
        <w:t xml:space="preserve"> </w:t>
      </w:r>
      <w:r w:rsidR="00175B5D" w:rsidRPr="00175B5D">
        <w:rPr>
          <w:rFonts w:ascii="Times New Roman" w:hAnsi="Times New Roman" w:cs="Times New Roman"/>
          <w:sz w:val="19"/>
          <w:szCs w:val="19"/>
        </w:rPr>
        <w:t xml:space="preserve"> </w:t>
      </w:r>
      <w:r w:rsidR="007B3190" w:rsidRPr="00175B5D">
        <w:rPr>
          <w:rFonts w:ascii="Times New Roman" w:hAnsi="Times New Roman" w:cs="Times New Roman"/>
          <w:sz w:val="19"/>
          <w:szCs w:val="19"/>
        </w:rPr>
        <w:t xml:space="preserve"> </w:t>
      </w:r>
    </w:p>
    <w:p w14:paraId="03864C1A" w14:textId="77777777" w:rsidR="007C6543" w:rsidRPr="0053653C" w:rsidRDefault="007C6543" w:rsidP="007C6543">
      <w:pPr>
        <w:spacing w:after="0" w:line="240" w:lineRule="auto"/>
        <w:jc w:val="both"/>
        <w:rPr>
          <w:rFonts w:ascii="Times New Roman" w:hAnsi="Times New Roman" w:cs="Times New Roman"/>
          <w:sz w:val="24"/>
          <w:szCs w:val="24"/>
        </w:rPr>
      </w:pPr>
    </w:p>
    <w:p w14:paraId="3FB435E5" w14:textId="2310F409" w:rsidR="00175B5D" w:rsidRDefault="00150938" w:rsidP="00175B5D">
      <w:pPr>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br/>
      </w:r>
    </w:p>
    <w:p w14:paraId="571F962A" w14:textId="074683F4" w:rsidR="0053653C" w:rsidRPr="0053653C" w:rsidRDefault="00150938" w:rsidP="0053653C">
      <w:pPr>
        <w:jc w:val="both"/>
        <w:rPr>
          <w:rFonts w:ascii="Times New Roman" w:hAnsi="Times New Roman" w:cs="Times New Roman"/>
          <w:sz w:val="20"/>
          <w:szCs w:val="20"/>
        </w:rPr>
      </w:pPr>
      <w:r w:rsidRPr="00150938">
        <w:rPr>
          <w:rFonts w:ascii="Times New Roman" w:hAnsi="Times New Roman" w:cs="Times New Roman"/>
          <w:sz w:val="20"/>
          <w:szCs w:val="20"/>
        </w:rPr>
        <w:t>In this study, the impact of the Loan to Deposit Ratio (LDR) on Return on Assets (ROA) in banks listed on the Indonesia Stock Exchange from 2015 to 2019 is to be examined. The information used in this study is secondary information. Three companies were collected as research samples after the sample was chosen using a purposive sampling technique from banking data obtained at the Indonesia Stock Exchange over a five-year period. Using documentation as a data collection tool. The traditional assumption test and the simple linear regression test are the analysis methods employed. The Pearson product moment correlation study indicates that the LDR and ROA have a positive and significant association, with a result of 0.748. While the results of simple linear regression analysis show a coefficient of determination (r2) of 0.560, this study's regression model can only account for 56% of the relationship between the independent variable LDR and the dependent variable ROA; the remaining 44% is determined by independent factors or variables unrelated to the study</w:t>
      </w:r>
    </w:p>
    <w:p w14:paraId="4E5F318D" w14:textId="3CDA8979" w:rsidR="007B3190" w:rsidRPr="0053653C" w:rsidRDefault="00150938" w:rsidP="0053653C">
      <w:pPr>
        <w:pBdr>
          <w:bottom w:val="single" w:sz="4" w:space="1" w:color="auto"/>
        </w:pBdr>
        <w:jc w:val="both"/>
        <w:rPr>
          <w:rFonts w:ascii="Times New Roman" w:hAnsi="Times New Roman" w:cs="Times New Roman"/>
          <w:sz w:val="20"/>
          <w:szCs w:val="20"/>
        </w:rPr>
        <w:sectPr w:rsidR="007B3190" w:rsidRPr="0053653C" w:rsidSect="00184C76">
          <w:type w:val="continuous"/>
          <w:pgSz w:w="12240" w:h="15840"/>
          <w:pgMar w:top="1440" w:right="1440" w:bottom="1440" w:left="1440" w:header="720" w:footer="720" w:gutter="0"/>
          <w:cols w:num="2" w:space="720" w:equalWidth="0">
            <w:col w:w="2640" w:space="720"/>
            <w:col w:w="6000"/>
          </w:cols>
          <w:docGrid w:linePitch="360"/>
        </w:sectPr>
      </w:pPr>
      <w:r>
        <w:rPr>
          <w:rFonts w:ascii="Times New Roman" w:hAnsi="Times New Roman" w:cs="Times New Roman"/>
          <w:b/>
          <w:bCs/>
          <w:sz w:val="20"/>
          <w:szCs w:val="20"/>
        </w:rPr>
        <w:br/>
      </w:r>
      <w:r w:rsidR="007C6543" w:rsidRPr="0053653C">
        <w:rPr>
          <w:rFonts w:ascii="Times New Roman" w:hAnsi="Times New Roman" w:cs="Times New Roman"/>
          <w:b/>
          <w:bCs/>
          <w:sz w:val="20"/>
          <w:szCs w:val="20"/>
        </w:rPr>
        <w:t>Keywords</w:t>
      </w:r>
      <w:r w:rsidR="007C6543" w:rsidRPr="0053653C">
        <w:rPr>
          <w:rFonts w:ascii="Times New Roman" w:hAnsi="Times New Roman" w:cs="Times New Roman"/>
          <w:sz w:val="20"/>
          <w:szCs w:val="20"/>
        </w:rPr>
        <w:t xml:space="preserve">: </w:t>
      </w:r>
      <w:r w:rsidRPr="00150938">
        <w:rPr>
          <w:rFonts w:ascii="Times New Roman" w:hAnsi="Times New Roman" w:cs="Times New Roman"/>
          <w:sz w:val="20"/>
          <w:szCs w:val="20"/>
        </w:rPr>
        <w:t>loan to deposit ratio, return on assets</w:t>
      </w:r>
      <w:r w:rsidR="008B1757">
        <w:rPr>
          <w:rFonts w:ascii="Times New Roman" w:hAnsi="Times New Roman" w:cs="Times New Roman"/>
          <w:sz w:val="20"/>
          <w:szCs w:val="20"/>
        </w:rPr>
        <w:t>, s</w:t>
      </w:r>
      <w:r w:rsidR="008B1757" w:rsidRPr="008B1757">
        <w:rPr>
          <w:rFonts w:ascii="Times New Roman" w:hAnsi="Times New Roman" w:cs="Times New Roman"/>
          <w:sz w:val="20"/>
          <w:szCs w:val="20"/>
        </w:rPr>
        <w:t xml:space="preserve">tock </w:t>
      </w:r>
      <w:r w:rsidR="008B1757">
        <w:rPr>
          <w:rFonts w:ascii="Times New Roman" w:hAnsi="Times New Roman" w:cs="Times New Roman"/>
          <w:sz w:val="20"/>
          <w:szCs w:val="20"/>
        </w:rPr>
        <w:t>e</w:t>
      </w:r>
      <w:r w:rsidR="008B1757" w:rsidRPr="008B1757">
        <w:rPr>
          <w:rFonts w:ascii="Times New Roman" w:hAnsi="Times New Roman" w:cs="Times New Roman"/>
          <w:sz w:val="20"/>
          <w:szCs w:val="20"/>
        </w:rPr>
        <w:t>xchange</w:t>
      </w:r>
    </w:p>
    <w:p w14:paraId="34FCC55E" w14:textId="77777777" w:rsidR="007C6543" w:rsidRPr="00803B7C" w:rsidRDefault="007C6543" w:rsidP="007C6543">
      <w:pPr>
        <w:pStyle w:val="ListParagraph"/>
        <w:numPr>
          <w:ilvl w:val="0"/>
          <w:numId w:val="5"/>
        </w:numPr>
        <w:rPr>
          <w:rFonts w:ascii="Times New Roman" w:hAnsi="Times New Roman" w:cs="Times New Roman"/>
          <w:b/>
          <w:bCs/>
          <w:sz w:val="20"/>
          <w:szCs w:val="20"/>
        </w:rPr>
      </w:pPr>
      <w:r w:rsidRPr="00803B7C">
        <w:rPr>
          <w:rFonts w:ascii="Times New Roman" w:hAnsi="Times New Roman" w:cs="Times New Roman"/>
          <w:b/>
          <w:bCs/>
          <w:sz w:val="20"/>
          <w:szCs w:val="20"/>
        </w:rPr>
        <w:t>INTRODUCTION</w:t>
      </w:r>
    </w:p>
    <w:p w14:paraId="64A1059A" w14:textId="77777777" w:rsidR="00150938" w:rsidRDefault="00150938" w:rsidP="00150938">
      <w:pPr>
        <w:ind w:firstLine="360"/>
        <w:jc w:val="both"/>
        <w:rPr>
          <w:rFonts w:ascii="Times New Roman" w:hAnsi="Times New Roman" w:cs="Times New Roman"/>
          <w:sz w:val="20"/>
          <w:szCs w:val="20"/>
        </w:rPr>
      </w:pPr>
      <w:r w:rsidRPr="00150938">
        <w:rPr>
          <w:rFonts w:ascii="Times New Roman" w:hAnsi="Times New Roman" w:cs="Times New Roman"/>
          <w:sz w:val="20"/>
          <w:szCs w:val="20"/>
        </w:rPr>
        <w:t>The existence of the banking industry has a significant impact on a nation's finances because banking in this country contributes to economic stability. Trust is the cornerstone of banking operations, both in terms of raising money and directing it. If there is a basis for trust, the community is willing to put its money in the bank. The growth of the banking organization will be significantly impacted by the level of consumer trust (Kasmir, 2015). This is so because the banking industry serves as both an entity that facilitates the flow of payment traffic and a financial intermediary between parties who have funds and parties who require funds (Muhammad, 2005). To maximize profits is the main goal of bank operations (Luthfi, et al, 2021). The goal of a bank's operational activities is to maximize profits through the provision of financial services to the general public (Sinungan, 2000). A bank's capacity to generate or earn profit effectively and efficiently is referred to as profitability. The profitability ratio is a statistic used to evaluate a company's capacity for long-term or short-term profit (Rivai, 2010). This ratio also gives an indication of how well a company's management is performing based on the profits from sales or investment income (Kasmir, 2015). The key issue is that using this ratio to measure business efficiency. Return on Assets (ROA) is a financial metric that may be used to measure profitability ((Dendawijaya, 2005; Gitman, 2009; Tambunan, 2008).</w:t>
      </w:r>
    </w:p>
    <w:p w14:paraId="2354AD88" w14:textId="522806FD" w:rsidR="00150938" w:rsidRPr="00150938" w:rsidRDefault="00150938" w:rsidP="00150938">
      <w:pPr>
        <w:ind w:firstLine="360"/>
        <w:jc w:val="both"/>
        <w:rPr>
          <w:rFonts w:ascii="Times New Roman" w:hAnsi="Times New Roman" w:cs="Times New Roman"/>
          <w:sz w:val="20"/>
          <w:szCs w:val="20"/>
        </w:rPr>
      </w:pPr>
      <w:r w:rsidRPr="00150938">
        <w:rPr>
          <w:rFonts w:ascii="Times New Roman" w:hAnsi="Times New Roman" w:cs="Times New Roman"/>
          <w:sz w:val="20"/>
          <w:szCs w:val="20"/>
        </w:rPr>
        <w:t xml:space="preserve">Return On Assets (ROA) is a profitability statistic that assesses how well a company uses its total assets to create profits (Dendawijaya, 2003). The Loan to Deposit Ratio (LDR), also known as the ratio of credit to total third party funds or usually used to measure third party money routed in the form of credit, is an indicator for evaluating financial performance to gauge the level of liquidity (Kasmir, 2015). Since lending is the bank's primary business, it also serves as its primary revenue stream. LDR is a crucial indicator of how well a bank's intermediation function is doing. LDR </w:t>
      </w:r>
      <w:r w:rsidRPr="00150938">
        <w:rPr>
          <w:rFonts w:ascii="Times New Roman" w:hAnsi="Times New Roman" w:cs="Times New Roman"/>
          <w:sz w:val="20"/>
          <w:szCs w:val="20"/>
        </w:rPr>
        <w:lastRenderedPageBreak/>
        <w:t xml:space="preserve">was therefore selected as one of the variables that affect ROA in this study. The development of LDR and ROA can be seen in the following graph. </w:t>
      </w:r>
    </w:p>
    <w:p w14:paraId="029203FD" w14:textId="1E59C192" w:rsidR="00150938" w:rsidRPr="00150938" w:rsidRDefault="00150938" w:rsidP="00150938">
      <w:pPr>
        <w:jc w:val="center"/>
        <w:rPr>
          <w:rFonts w:ascii="Times New Roman" w:hAnsi="Times New Roman" w:cs="Times New Roman"/>
          <w:sz w:val="20"/>
          <w:szCs w:val="20"/>
        </w:rPr>
      </w:pPr>
      <w:r w:rsidRPr="00150938">
        <w:rPr>
          <w:noProof/>
          <w:color w:val="000000"/>
          <w:sz w:val="20"/>
          <w:szCs w:val="20"/>
        </w:rPr>
        <w:drawing>
          <wp:inline distT="0" distB="0" distL="0" distR="0" wp14:anchorId="19271982" wp14:editId="0C0A4222">
            <wp:extent cx="3753374" cy="2295845"/>
            <wp:effectExtent l="0" t="0" r="0" b="0"/>
            <wp:docPr id="1000101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753374" cy="2295845"/>
                    </a:xfrm>
                    <a:prstGeom prst="rect">
                      <a:avLst/>
                    </a:prstGeom>
                    <a:ln/>
                  </pic:spPr>
                </pic:pic>
              </a:graphicData>
            </a:graphic>
          </wp:inline>
        </w:drawing>
      </w:r>
    </w:p>
    <w:p w14:paraId="36AFC2A0" w14:textId="77777777" w:rsidR="00150938" w:rsidRPr="00150938" w:rsidRDefault="00150938" w:rsidP="00150938">
      <w:pPr>
        <w:jc w:val="center"/>
        <w:rPr>
          <w:rFonts w:ascii="Times New Roman" w:hAnsi="Times New Roman" w:cs="Times New Roman"/>
          <w:sz w:val="20"/>
          <w:szCs w:val="20"/>
        </w:rPr>
      </w:pPr>
      <w:r w:rsidRPr="00150938">
        <w:rPr>
          <w:rFonts w:ascii="Times New Roman" w:hAnsi="Times New Roman" w:cs="Times New Roman"/>
          <w:sz w:val="20"/>
          <w:szCs w:val="20"/>
        </w:rPr>
        <w:t>Source: Data processed by IDX (2021)</w:t>
      </w:r>
    </w:p>
    <w:p w14:paraId="75A031BA" w14:textId="77777777" w:rsidR="00150938" w:rsidRDefault="00150938" w:rsidP="00150938">
      <w:pPr>
        <w:ind w:firstLine="360"/>
        <w:jc w:val="both"/>
        <w:rPr>
          <w:rFonts w:ascii="Times New Roman" w:hAnsi="Times New Roman" w:cs="Times New Roman"/>
          <w:sz w:val="20"/>
          <w:szCs w:val="20"/>
        </w:rPr>
      </w:pPr>
      <w:r w:rsidRPr="00150938">
        <w:rPr>
          <w:rFonts w:ascii="Times New Roman" w:hAnsi="Times New Roman" w:cs="Times New Roman"/>
          <w:sz w:val="20"/>
          <w:szCs w:val="20"/>
        </w:rPr>
        <w:t>The evolution of LDR and ROA in banking companies from 2015 to 2019 is depicted in the graph above. As can be observed, from 2015 to 2019, LDR reduced from 85.87% to 85.56%, and ROA increased from 0.85 to 1.20% in its place. LDR once more fell from 85.56% to 85.28% in 2016–2017, and ROA also fell, from 1.20% to 1.01%. LDR increased from 85.28% to 86.95% between 2017 and 2018, however ROA fell from 1.01% to 0.92%. In contrast, LDR dropped from 86.95% to 85.66% in 2018–19, while ROA also fell, from 0.92% to 0.90%. It is clear from these trends that an increase or drop in ROA is not always accompanied by an equal rise or fall in LDR.</w:t>
      </w:r>
    </w:p>
    <w:p w14:paraId="53898FE6" w14:textId="3BEC5C5D" w:rsidR="00150938" w:rsidRPr="00150938" w:rsidRDefault="00150938" w:rsidP="00150938">
      <w:pPr>
        <w:ind w:firstLine="360"/>
        <w:jc w:val="both"/>
        <w:rPr>
          <w:rFonts w:ascii="Times New Roman" w:hAnsi="Times New Roman" w:cs="Times New Roman"/>
          <w:sz w:val="20"/>
          <w:szCs w:val="20"/>
        </w:rPr>
      </w:pPr>
      <w:r w:rsidRPr="00150938">
        <w:rPr>
          <w:rFonts w:ascii="Times New Roman" w:hAnsi="Times New Roman" w:cs="Times New Roman"/>
          <w:sz w:val="20"/>
          <w:szCs w:val="20"/>
        </w:rPr>
        <w:t>According to the findings of Luh (2015), LDR has a significant positive effect on ROA. The positive value of the Loan to Deposit Ratio (LDR) indicates that the higher the Loan to Deposit Ratio (LDR), the worse the bank's liquidity conditions are, and vice versa, the lower the Loan to Deposit Ratio (LDR), the worse the bank's Return On Assets are (ROA). This study is consistent with the findings of Erna and Joko (2017) LDR has a significant effect on ROA both partially and simultaneously. However, according to Bernardin (2016), LDR has no significant effect on ROA. Based on the background phenomenon of the problem and differences in previous study results, the researcher is interested in conducting additional research on the effect of LDR on ROA on banks listed on the Indonesia Stock Exchange (IDX).</w:t>
      </w:r>
    </w:p>
    <w:p w14:paraId="0DEB925F" w14:textId="77777777" w:rsidR="00F37D75" w:rsidRPr="00803B7C" w:rsidRDefault="00F37D75" w:rsidP="007C6543">
      <w:pPr>
        <w:spacing w:after="0" w:line="240" w:lineRule="auto"/>
        <w:rPr>
          <w:rFonts w:ascii="Times New Roman" w:hAnsi="Times New Roman" w:cs="Times New Roman"/>
          <w:b/>
          <w:sz w:val="20"/>
          <w:szCs w:val="20"/>
        </w:rPr>
      </w:pPr>
    </w:p>
    <w:p w14:paraId="1A54A5A3" w14:textId="77777777" w:rsidR="007C6543" w:rsidRPr="00803B7C" w:rsidRDefault="007C6543" w:rsidP="007C6543">
      <w:pPr>
        <w:pStyle w:val="ListParagraph"/>
        <w:numPr>
          <w:ilvl w:val="0"/>
          <w:numId w:val="5"/>
        </w:numPr>
        <w:jc w:val="both"/>
        <w:rPr>
          <w:rFonts w:ascii="Times New Roman" w:hAnsi="Times New Roman" w:cs="Times New Roman"/>
          <w:b/>
          <w:bCs/>
          <w:sz w:val="20"/>
          <w:szCs w:val="20"/>
        </w:rPr>
      </w:pPr>
      <w:r w:rsidRPr="00803B7C">
        <w:rPr>
          <w:rFonts w:ascii="Times New Roman" w:hAnsi="Times New Roman" w:cs="Times New Roman"/>
          <w:b/>
          <w:bCs/>
          <w:sz w:val="20"/>
          <w:szCs w:val="20"/>
        </w:rPr>
        <w:t>LITERATURE REVIEW</w:t>
      </w:r>
    </w:p>
    <w:p w14:paraId="161D8F63" w14:textId="22F0DB91" w:rsidR="00150938" w:rsidRPr="00150938" w:rsidRDefault="00150938" w:rsidP="00150938">
      <w:pPr>
        <w:spacing w:line="240" w:lineRule="auto"/>
        <w:jc w:val="both"/>
        <w:rPr>
          <w:rFonts w:ascii="Times New Roman" w:hAnsi="Times New Roman" w:cs="Times New Roman"/>
          <w:b/>
          <w:bCs/>
          <w:sz w:val="20"/>
          <w:szCs w:val="20"/>
        </w:rPr>
      </w:pPr>
      <w:r w:rsidRPr="00150938">
        <w:rPr>
          <w:rFonts w:ascii="Times New Roman" w:hAnsi="Times New Roman" w:cs="Times New Roman"/>
          <w:b/>
          <w:bCs/>
          <w:sz w:val="20"/>
          <w:szCs w:val="20"/>
        </w:rPr>
        <w:t>Return On Assets (ROA)</w:t>
      </w:r>
    </w:p>
    <w:p w14:paraId="098F6BA3" w14:textId="77777777" w:rsidR="00150938" w:rsidRDefault="00150938" w:rsidP="00150938">
      <w:pPr>
        <w:spacing w:line="240" w:lineRule="auto"/>
        <w:ind w:firstLine="360"/>
        <w:jc w:val="both"/>
        <w:rPr>
          <w:rFonts w:ascii="Times New Roman" w:hAnsi="Times New Roman" w:cs="Times New Roman"/>
          <w:sz w:val="20"/>
          <w:szCs w:val="20"/>
        </w:rPr>
      </w:pPr>
      <w:r w:rsidRPr="00150938">
        <w:rPr>
          <w:rFonts w:ascii="Times New Roman" w:hAnsi="Times New Roman" w:cs="Times New Roman"/>
          <w:sz w:val="20"/>
          <w:szCs w:val="20"/>
        </w:rPr>
        <w:t>Return on assets (ROA) includes: "A ratio used to gauge management's success in generating overall profit is called return on assets. The higher the ROA, the higher the company's level of profit, and the better the company is positioned in terms of asset utilization. According to Kasmir (2015), The ratio known as return on assets (ROA) depicts the profit made on all of the company's assets. Indicators of management's efficiency in managing investments include ROA. Profit before taxes and average total assets are the measurement instruments. According to Bank Indonesia Circular Letter No.13/30/DPNP dated December 16, 2011, this ratio is calculated as follows:</w:t>
      </w:r>
    </w:p>
    <w:p w14:paraId="32CFFD0B" w14:textId="330FED8A" w:rsidR="00150938" w:rsidRDefault="00150938" w:rsidP="00150938">
      <w:pPr>
        <w:spacing w:line="240" w:lineRule="auto"/>
        <w:jc w:val="both"/>
        <w:rPr>
          <w:rFonts w:ascii="Times New Roman" w:hAnsi="Times New Roman" w:cs="Times New Roman"/>
          <w:sz w:val="20"/>
          <w:szCs w:val="20"/>
        </w:rPr>
      </w:pPr>
      <m:oMathPara>
        <m:oMath>
          <m:r>
            <w:rPr>
              <w:rFonts w:ascii="Cambria Math" w:hAnsi="Cambria Math"/>
            </w:rPr>
            <m:t>ROA=</m:t>
          </m:r>
          <m:f>
            <m:fPr>
              <m:ctrlPr>
                <w:rPr>
                  <w:rFonts w:ascii="Cambria Math" w:hAnsi="Cambria Math"/>
                </w:rPr>
              </m:ctrlPr>
            </m:fPr>
            <m:num>
              <m:r>
                <w:rPr>
                  <w:rFonts w:ascii="Cambria Math" w:hAnsi="Cambria Math"/>
                </w:rPr>
                <m:t>Income Before Tax</m:t>
              </m:r>
            </m:num>
            <m:den>
              <m:r>
                <w:rPr>
                  <w:rFonts w:ascii="Cambria Math" w:hAnsi="Cambria Math"/>
                </w:rPr>
                <m:t>Total Assets</m:t>
              </m:r>
            </m:den>
          </m:f>
          <m:r>
            <w:rPr>
              <w:rFonts w:ascii="Cambria Math" w:hAnsi="Cambria Math"/>
            </w:rPr>
            <m:t>x 100%</m:t>
          </m:r>
        </m:oMath>
      </m:oMathPara>
    </w:p>
    <w:p w14:paraId="5B839A6F" w14:textId="5E20FE7D" w:rsidR="00150938" w:rsidRPr="00150938" w:rsidRDefault="00150938" w:rsidP="00150938">
      <w:pPr>
        <w:spacing w:line="240" w:lineRule="auto"/>
        <w:ind w:firstLine="360"/>
        <w:jc w:val="both"/>
        <w:rPr>
          <w:rFonts w:ascii="Times New Roman" w:hAnsi="Times New Roman" w:cs="Times New Roman"/>
          <w:sz w:val="20"/>
          <w:szCs w:val="20"/>
        </w:rPr>
      </w:pPr>
      <w:r w:rsidRPr="00150938">
        <w:rPr>
          <w:rFonts w:ascii="Times New Roman" w:hAnsi="Times New Roman" w:cs="Times New Roman"/>
          <w:sz w:val="20"/>
          <w:szCs w:val="20"/>
        </w:rPr>
        <w:t>The better the ROA value, the more effectively management is able to control costs throughout all business activities. And the higher a bank's ROA, the higher the level of profit it has generated and the better off it is in terms of asset utilization.</w:t>
      </w:r>
    </w:p>
    <w:p w14:paraId="62C87F9F" w14:textId="38FA84D8" w:rsidR="00150938" w:rsidRPr="00150938" w:rsidRDefault="00150938" w:rsidP="00150938">
      <w:pPr>
        <w:spacing w:line="240" w:lineRule="auto"/>
        <w:jc w:val="both"/>
        <w:rPr>
          <w:rFonts w:ascii="Times New Roman" w:hAnsi="Times New Roman" w:cs="Times New Roman"/>
          <w:b/>
          <w:bCs/>
          <w:sz w:val="20"/>
          <w:szCs w:val="20"/>
        </w:rPr>
      </w:pPr>
      <w:r w:rsidRPr="00150938">
        <w:rPr>
          <w:rFonts w:ascii="Times New Roman" w:hAnsi="Times New Roman" w:cs="Times New Roman"/>
          <w:b/>
          <w:bCs/>
          <w:sz w:val="20"/>
          <w:szCs w:val="20"/>
        </w:rPr>
        <w:lastRenderedPageBreak/>
        <w:t>Loan to Deposit Ratio (LDR)</w:t>
      </w:r>
    </w:p>
    <w:p w14:paraId="40D4D4CC" w14:textId="77777777" w:rsidR="00150938" w:rsidRDefault="00150938" w:rsidP="00150938">
      <w:pPr>
        <w:spacing w:line="240" w:lineRule="auto"/>
        <w:ind w:firstLine="360"/>
        <w:jc w:val="both"/>
        <w:rPr>
          <w:rFonts w:ascii="Times New Roman" w:hAnsi="Times New Roman" w:cs="Times New Roman"/>
          <w:sz w:val="20"/>
          <w:szCs w:val="20"/>
        </w:rPr>
      </w:pPr>
      <w:r w:rsidRPr="00150938">
        <w:rPr>
          <w:rFonts w:ascii="Times New Roman" w:hAnsi="Times New Roman" w:cs="Times New Roman"/>
          <w:sz w:val="20"/>
          <w:szCs w:val="20"/>
        </w:rPr>
        <w:t>The ratio of the bank's total quantity of credit provided to its total amount of cash received is known as the loan to deposit ratio. Loan to Deposit ratio is the ratio used to measure the composition of the amount of credit granted compared to the amount of public money and own capital utilised, claims Kasmir (2015). According to Bank Indonesia Circular Letter No.13/30/DPNP dated December 16, 2011, this ratio can be expressed as follows:</w:t>
      </w:r>
    </w:p>
    <w:p w14:paraId="3C62BA7D" w14:textId="3299271A" w:rsidR="00150938" w:rsidRPr="00150938" w:rsidRDefault="00150938" w:rsidP="00150938">
      <w:pPr>
        <w:spacing w:line="240" w:lineRule="auto"/>
        <w:jc w:val="both"/>
        <w:rPr>
          <w:rFonts w:ascii="Times New Roman" w:hAnsi="Times New Roman" w:cs="Times New Roman"/>
          <w:sz w:val="20"/>
          <w:szCs w:val="20"/>
        </w:rPr>
      </w:pPr>
      <m:oMathPara>
        <m:oMath>
          <m:r>
            <w:rPr>
              <w:rFonts w:ascii="Cambria Math" w:hAnsi="Cambria Math"/>
            </w:rPr>
            <m:t>ROA=</m:t>
          </m:r>
          <m:f>
            <m:fPr>
              <m:ctrlPr>
                <w:rPr>
                  <w:rFonts w:ascii="Cambria Math" w:hAnsi="Cambria Math"/>
                </w:rPr>
              </m:ctrlPr>
            </m:fPr>
            <m:num>
              <m:r>
                <w:rPr>
                  <w:rFonts w:ascii="Cambria Math" w:hAnsi="Cambria Math"/>
                </w:rPr>
                <m:t>Income Before Tax</m:t>
              </m:r>
            </m:num>
            <m:den>
              <m:r>
                <w:rPr>
                  <w:rFonts w:ascii="Cambria Math" w:hAnsi="Cambria Math"/>
                </w:rPr>
                <m:t>Total Assets</m:t>
              </m:r>
            </m:den>
          </m:f>
          <m:r>
            <w:rPr>
              <w:rFonts w:ascii="Cambria Math" w:hAnsi="Cambria Math"/>
            </w:rPr>
            <m:t>x 100%</m:t>
          </m:r>
        </m:oMath>
      </m:oMathPara>
    </w:p>
    <w:p w14:paraId="199E6DB2" w14:textId="1F3B31AB" w:rsidR="001D0EA1" w:rsidRPr="00F37D75" w:rsidRDefault="00150938" w:rsidP="00150938">
      <w:pPr>
        <w:spacing w:line="240" w:lineRule="auto"/>
        <w:ind w:firstLine="360"/>
        <w:jc w:val="both"/>
        <w:rPr>
          <w:rFonts w:ascii="Times New Roman" w:hAnsi="Times New Roman" w:cs="Times New Roman"/>
          <w:sz w:val="20"/>
          <w:szCs w:val="20"/>
        </w:rPr>
      </w:pPr>
      <w:r w:rsidRPr="00150938">
        <w:rPr>
          <w:rFonts w:ascii="Times New Roman" w:hAnsi="Times New Roman" w:cs="Times New Roman"/>
          <w:sz w:val="20"/>
          <w:szCs w:val="20"/>
        </w:rPr>
        <w:t>The loan to deposit ratio measures the bank's capacity to recoup depositor withdrawals by using the credit extended as a source of liquidity. The smaller the bank's liquidity capacity, the greater the ratio indicates.</w:t>
      </w:r>
    </w:p>
    <w:p w14:paraId="5814C926" w14:textId="77777777" w:rsidR="006E6319" w:rsidRPr="006B6805" w:rsidRDefault="006E6319" w:rsidP="006B6805">
      <w:pPr>
        <w:spacing w:line="240" w:lineRule="auto"/>
        <w:rPr>
          <w:rFonts w:ascii="Times New Roman" w:hAnsi="Times New Roman" w:cs="Times New Roman"/>
          <w:b/>
          <w:sz w:val="20"/>
          <w:szCs w:val="20"/>
        </w:rPr>
      </w:pPr>
    </w:p>
    <w:p w14:paraId="2D2320A2" w14:textId="49AB9F8D" w:rsidR="007C6543" w:rsidRPr="00C111BE" w:rsidRDefault="007C6543" w:rsidP="007C6543">
      <w:pPr>
        <w:pStyle w:val="ListParagraph"/>
        <w:numPr>
          <w:ilvl w:val="0"/>
          <w:numId w:val="5"/>
        </w:numPr>
        <w:spacing w:line="240" w:lineRule="auto"/>
        <w:rPr>
          <w:rFonts w:ascii="Times New Roman" w:hAnsi="Times New Roman" w:cs="Times New Roman"/>
          <w:b/>
          <w:sz w:val="20"/>
          <w:szCs w:val="20"/>
        </w:rPr>
      </w:pPr>
      <w:r w:rsidRPr="00C111BE">
        <w:rPr>
          <w:rFonts w:ascii="Times New Roman" w:hAnsi="Times New Roman" w:cs="Times New Roman"/>
          <w:b/>
          <w:sz w:val="20"/>
          <w:szCs w:val="20"/>
        </w:rPr>
        <w:t>RESEARCH METHODS</w:t>
      </w:r>
    </w:p>
    <w:p w14:paraId="403C31E6" w14:textId="3B0AFC5A" w:rsidR="00150938" w:rsidRPr="00150938" w:rsidRDefault="00150938" w:rsidP="00150938">
      <w:pPr>
        <w:spacing w:line="240" w:lineRule="auto"/>
        <w:rPr>
          <w:rFonts w:ascii="Times New Roman" w:hAnsi="Times New Roman" w:cs="Times New Roman"/>
          <w:b/>
          <w:bCs/>
          <w:sz w:val="20"/>
          <w:szCs w:val="20"/>
        </w:rPr>
      </w:pPr>
      <w:r w:rsidRPr="00150938">
        <w:rPr>
          <w:rFonts w:ascii="Times New Roman" w:hAnsi="Times New Roman" w:cs="Times New Roman"/>
          <w:b/>
          <w:bCs/>
          <w:sz w:val="20"/>
          <w:szCs w:val="20"/>
        </w:rPr>
        <w:t>Research design</w:t>
      </w:r>
    </w:p>
    <w:p w14:paraId="60531B06" w14:textId="77777777" w:rsidR="00150938" w:rsidRPr="00150938" w:rsidRDefault="00150938" w:rsidP="00150938">
      <w:pPr>
        <w:spacing w:line="240" w:lineRule="auto"/>
        <w:rPr>
          <w:rFonts w:ascii="Times New Roman" w:hAnsi="Times New Roman" w:cs="Times New Roman"/>
          <w:sz w:val="20"/>
          <w:szCs w:val="20"/>
        </w:rPr>
      </w:pPr>
      <w:r w:rsidRPr="00150938">
        <w:rPr>
          <w:rFonts w:ascii="Times New Roman" w:hAnsi="Times New Roman" w:cs="Times New Roman"/>
          <w:sz w:val="20"/>
          <w:szCs w:val="20"/>
        </w:rPr>
        <w:t>Descriptive and associative study with a quantitative approach is the research methodology used.</w:t>
      </w:r>
    </w:p>
    <w:p w14:paraId="1BF4D665" w14:textId="2F7FD4E6" w:rsidR="00150938" w:rsidRPr="00150938" w:rsidRDefault="00150938" w:rsidP="00150938">
      <w:pPr>
        <w:spacing w:line="240" w:lineRule="auto"/>
        <w:rPr>
          <w:rFonts w:ascii="Times New Roman" w:hAnsi="Times New Roman" w:cs="Times New Roman"/>
          <w:b/>
          <w:bCs/>
          <w:sz w:val="20"/>
          <w:szCs w:val="20"/>
        </w:rPr>
      </w:pPr>
      <w:r w:rsidRPr="00150938">
        <w:rPr>
          <w:rFonts w:ascii="Times New Roman" w:hAnsi="Times New Roman" w:cs="Times New Roman"/>
          <w:b/>
          <w:bCs/>
          <w:sz w:val="20"/>
          <w:szCs w:val="20"/>
        </w:rPr>
        <w:t>Population and Sample</w:t>
      </w:r>
    </w:p>
    <w:p w14:paraId="1AD19EF6" w14:textId="77777777" w:rsidR="00150938" w:rsidRPr="00150938" w:rsidRDefault="00150938" w:rsidP="00150938">
      <w:pPr>
        <w:spacing w:line="240" w:lineRule="auto"/>
        <w:ind w:firstLine="360"/>
        <w:rPr>
          <w:rFonts w:ascii="Times New Roman" w:hAnsi="Times New Roman" w:cs="Times New Roman"/>
          <w:sz w:val="20"/>
          <w:szCs w:val="20"/>
        </w:rPr>
      </w:pPr>
      <w:r w:rsidRPr="00150938">
        <w:rPr>
          <w:rFonts w:ascii="Times New Roman" w:hAnsi="Times New Roman" w:cs="Times New Roman"/>
          <w:sz w:val="20"/>
          <w:szCs w:val="20"/>
        </w:rPr>
        <w:t>All Indonesian commercial banks that were listed on the Indonesia Stock Exchange and were open from 2015 to 2019 made up the population of this study. Purposive sampling, a sampling methodology based on chosen groups according to the unique qualities possessed by the sample, was utilized in the sampling process (Sugiyono, 2011). There are 45 banks according to the number of banking businesses registered on the Indonesia Stock Exchange for the years 2015 through 2019 gathered a sample of three banks that satisfy the requirements.</w:t>
      </w:r>
    </w:p>
    <w:p w14:paraId="097631E5" w14:textId="0A87B8F1" w:rsidR="00150938" w:rsidRPr="00150938" w:rsidRDefault="00150938" w:rsidP="00150938">
      <w:pPr>
        <w:spacing w:line="240" w:lineRule="auto"/>
        <w:rPr>
          <w:rFonts w:ascii="Times New Roman" w:hAnsi="Times New Roman" w:cs="Times New Roman"/>
          <w:b/>
          <w:bCs/>
          <w:sz w:val="20"/>
          <w:szCs w:val="20"/>
        </w:rPr>
      </w:pPr>
      <w:r w:rsidRPr="00150938">
        <w:rPr>
          <w:rFonts w:ascii="Times New Roman" w:hAnsi="Times New Roman" w:cs="Times New Roman"/>
          <w:b/>
          <w:bCs/>
          <w:sz w:val="20"/>
          <w:szCs w:val="20"/>
        </w:rPr>
        <w:t>Method of collecting data</w:t>
      </w:r>
    </w:p>
    <w:p w14:paraId="1664D5B7" w14:textId="77777777" w:rsidR="00150938" w:rsidRPr="00150938" w:rsidRDefault="00150938" w:rsidP="00150938">
      <w:pPr>
        <w:spacing w:line="240" w:lineRule="auto"/>
        <w:ind w:firstLine="360"/>
        <w:rPr>
          <w:rFonts w:ascii="Times New Roman" w:hAnsi="Times New Roman" w:cs="Times New Roman"/>
          <w:sz w:val="20"/>
          <w:szCs w:val="20"/>
        </w:rPr>
      </w:pPr>
      <w:r w:rsidRPr="00150938">
        <w:rPr>
          <w:rFonts w:ascii="Times New Roman" w:hAnsi="Times New Roman" w:cs="Times New Roman"/>
          <w:sz w:val="20"/>
          <w:szCs w:val="20"/>
        </w:rPr>
        <w:t>The documentation technique is the one that is utilized to acquire data. Secondary data used in this research is the annual statement report each bank for the period 2015-2019.</w:t>
      </w:r>
    </w:p>
    <w:p w14:paraId="6237C13B" w14:textId="3E7DC595" w:rsidR="00150938" w:rsidRPr="00150938" w:rsidRDefault="00150938" w:rsidP="00150938">
      <w:pPr>
        <w:spacing w:line="240" w:lineRule="auto"/>
        <w:rPr>
          <w:rFonts w:ascii="Times New Roman" w:hAnsi="Times New Roman" w:cs="Times New Roman"/>
          <w:b/>
          <w:bCs/>
          <w:sz w:val="20"/>
          <w:szCs w:val="20"/>
        </w:rPr>
      </w:pPr>
      <w:r w:rsidRPr="00150938">
        <w:rPr>
          <w:rFonts w:ascii="Times New Roman" w:hAnsi="Times New Roman" w:cs="Times New Roman"/>
          <w:b/>
          <w:bCs/>
          <w:sz w:val="20"/>
          <w:szCs w:val="20"/>
        </w:rPr>
        <w:t>Data analysis method</w:t>
      </w:r>
    </w:p>
    <w:p w14:paraId="79CCB11E" w14:textId="0FFCD6E5" w:rsidR="007C6543" w:rsidRDefault="00150938" w:rsidP="00150938">
      <w:pPr>
        <w:spacing w:line="240" w:lineRule="auto"/>
        <w:ind w:firstLine="360"/>
        <w:jc w:val="both"/>
        <w:rPr>
          <w:rFonts w:ascii="Times New Roman" w:hAnsi="Times New Roman" w:cs="Times New Roman"/>
          <w:sz w:val="20"/>
          <w:szCs w:val="20"/>
        </w:rPr>
      </w:pPr>
      <w:r w:rsidRPr="00150938">
        <w:rPr>
          <w:rFonts w:ascii="Times New Roman" w:hAnsi="Times New Roman" w:cs="Times New Roman"/>
          <w:sz w:val="20"/>
          <w:szCs w:val="20"/>
        </w:rPr>
        <w:t>The data analysis technique used to analyze the independent variable (Loan to Deposit Ratio) and the dependent variable (Return on Assets) is a descriptive analysis technique, which provides a general overview of the object of research using sample data and then draws conclusions. Pearson product moment correlation analysis is used to analyze the causal (associative) relationship between the independent variables and the dependent variable, followed by simple linear regression analysis to measure the effect of the Loan to Deposit Ratio (LDR) on Return on Assets (ROA)</w:t>
      </w:r>
      <w:r w:rsidR="009B4B0B" w:rsidRPr="009B4B0B">
        <w:rPr>
          <w:rFonts w:ascii="Times New Roman" w:hAnsi="Times New Roman" w:cs="Times New Roman"/>
          <w:sz w:val="20"/>
          <w:szCs w:val="20"/>
        </w:rPr>
        <w:t>.</w:t>
      </w:r>
    </w:p>
    <w:p w14:paraId="3D28B5B1" w14:textId="77777777" w:rsidR="009711F5" w:rsidRPr="006B6805" w:rsidRDefault="009711F5" w:rsidP="00F37D75">
      <w:pPr>
        <w:spacing w:line="240" w:lineRule="auto"/>
        <w:jc w:val="both"/>
        <w:rPr>
          <w:rFonts w:ascii="Times New Roman" w:hAnsi="Times New Roman" w:cs="Times New Roman"/>
          <w:b/>
          <w:bCs/>
          <w:sz w:val="24"/>
          <w:szCs w:val="24"/>
        </w:rPr>
      </w:pPr>
    </w:p>
    <w:p w14:paraId="3CB3BA0B" w14:textId="77777777" w:rsidR="007C6543" w:rsidRPr="00C111BE" w:rsidRDefault="007C6543" w:rsidP="007C6543">
      <w:pPr>
        <w:pStyle w:val="ListParagraph"/>
        <w:numPr>
          <w:ilvl w:val="0"/>
          <w:numId w:val="5"/>
        </w:numPr>
        <w:spacing w:line="240" w:lineRule="auto"/>
        <w:rPr>
          <w:rFonts w:ascii="Times New Roman" w:hAnsi="Times New Roman" w:cs="Times New Roman"/>
          <w:b/>
          <w:bCs/>
          <w:sz w:val="20"/>
          <w:szCs w:val="20"/>
        </w:rPr>
      </w:pPr>
      <w:r w:rsidRPr="00C111BE">
        <w:rPr>
          <w:rFonts w:ascii="Times New Roman" w:hAnsi="Times New Roman" w:cs="Times New Roman"/>
          <w:b/>
          <w:bCs/>
          <w:sz w:val="20"/>
          <w:szCs w:val="20"/>
        </w:rPr>
        <w:t xml:space="preserve">RESULT AND ANALYSIS </w:t>
      </w:r>
    </w:p>
    <w:p w14:paraId="219AD3B8" w14:textId="77777777" w:rsidR="00150938" w:rsidRPr="00150938" w:rsidRDefault="00150938" w:rsidP="00150938">
      <w:pPr>
        <w:pStyle w:val="Heading2"/>
        <w:tabs>
          <w:tab w:val="left" w:pos="567"/>
        </w:tabs>
        <w:spacing w:after="0"/>
        <w:jc w:val="both"/>
        <w:rPr>
          <w:rFonts w:asciiTheme="majorBidi" w:hAnsiTheme="majorBidi" w:cstheme="majorBidi"/>
          <w:i w:val="0"/>
          <w:iCs w:val="0"/>
          <w:sz w:val="20"/>
          <w:szCs w:val="20"/>
        </w:rPr>
      </w:pPr>
      <w:r w:rsidRPr="00150938">
        <w:rPr>
          <w:rFonts w:asciiTheme="majorBidi" w:hAnsiTheme="majorBidi" w:cstheme="majorBidi"/>
          <w:i w:val="0"/>
          <w:iCs w:val="0"/>
          <w:sz w:val="20"/>
          <w:szCs w:val="20"/>
        </w:rPr>
        <w:t>Descriptive statistics</w:t>
      </w:r>
    </w:p>
    <w:p w14:paraId="4BB90FC9" w14:textId="77777777" w:rsidR="00150938" w:rsidRPr="00150938" w:rsidRDefault="00150938" w:rsidP="00150938">
      <w:pPr>
        <w:spacing w:after="0" w:line="240" w:lineRule="auto"/>
        <w:jc w:val="both"/>
        <w:rPr>
          <w:rFonts w:asciiTheme="majorBidi" w:hAnsiTheme="majorBidi" w:cstheme="majorBidi"/>
          <w:sz w:val="20"/>
          <w:szCs w:val="20"/>
        </w:rPr>
      </w:pPr>
      <w:r w:rsidRPr="00150938">
        <w:rPr>
          <w:rFonts w:asciiTheme="majorBidi" w:hAnsiTheme="majorBidi" w:cstheme="majorBidi"/>
          <w:sz w:val="20"/>
          <w:szCs w:val="20"/>
        </w:rPr>
        <w:t>The results of the descriptive statistics of the LDR and ROA variables can be seen in the following table.</w:t>
      </w:r>
    </w:p>
    <w:p w14:paraId="159F78F9" w14:textId="77777777" w:rsidR="00150938" w:rsidRPr="00150938" w:rsidRDefault="00150938" w:rsidP="00150938">
      <w:pPr>
        <w:pStyle w:val="Heading1"/>
        <w:spacing w:before="161" w:line="240" w:lineRule="auto"/>
        <w:rPr>
          <w:rFonts w:asciiTheme="majorBidi" w:hAnsiTheme="majorBidi" w:cstheme="majorBidi"/>
        </w:rPr>
      </w:pPr>
      <w:r w:rsidRPr="00150938">
        <w:rPr>
          <w:rFonts w:asciiTheme="majorBidi" w:hAnsiTheme="majorBidi" w:cstheme="majorBidi"/>
        </w:rPr>
        <w:t>Table 4.1</w:t>
      </w:r>
    </w:p>
    <w:p w14:paraId="21F0B1F7" w14:textId="77777777" w:rsidR="00150938" w:rsidRPr="00150938" w:rsidRDefault="00150938" w:rsidP="00150938">
      <w:pPr>
        <w:spacing w:after="0" w:line="240" w:lineRule="auto"/>
        <w:ind w:right="-1"/>
        <w:jc w:val="center"/>
        <w:rPr>
          <w:rFonts w:asciiTheme="majorBidi" w:hAnsiTheme="majorBidi" w:cstheme="majorBidi"/>
          <w:b/>
          <w:sz w:val="20"/>
          <w:szCs w:val="20"/>
        </w:rPr>
      </w:pPr>
      <w:r w:rsidRPr="00150938">
        <w:rPr>
          <w:rFonts w:asciiTheme="majorBidi" w:hAnsiTheme="majorBidi" w:cstheme="majorBidi"/>
          <w:b/>
          <w:sz w:val="20"/>
          <w:szCs w:val="20"/>
        </w:rPr>
        <w:t>Loan to Deposit (LDR) Variable Descriptive Statistics</w:t>
      </w:r>
    </w:p>
    <w:p w14:paraId="29E80B7A" w14:textId="77777777" w:rsidR="00150938" w:rsidRPr="00150938" w:rsidRDefault="00150938" w:rsidP="00150938">
      <w:pPr>
        <w:spacing w:after="0" w:line="240" w:lineRule="auto"/>
        <w:jc w:val="center"/>
        <w:rPr>
          <w:rFonts w:asciiTheme="majorBidi" w:hAnsiTheme="majorBidi" w:cstheme="majorBidi"/>
          <w:b/>
          <w:sz w:val="20"/>
          <w:szCs w:val="20"/>
        </w:rPr>
      </w:pPr>
      <w:r w:rsidRPr="00150938">
        <w:rPr>
          <w:rFonts w:asciiTheme="majorBidi" w:hAnsiTheme="majorBidi" w:cstheme="majorBidi"/>
          <w:b/>
          <w:color w:val="000104"/>
          <w:sz w:val="20"/>
          <w:szCs w:val="20"/>
        </w:rPr>
        <w:t>Descriptive Statistics</w:t>
      </w:r>
    </w:p>
    <w:tbl>
      <w:tblPr>
        <w:tblW w:w="7395"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528"/>
        <w:gridCol w:w="1276"/>
        <w:gridCol w:w="1276"/>
        <w:gridCol w:w="1417"/>
        <w:gridCol w:w="1191"/>
      </w:tblGrid>
      <w:tr w:rsidR="00150938" w:rsidRPr="00150938" w14:paraId="4392BA4B" w14:textId="77777777" w:rsidTr="0066465F">
        <w:trPr>
          <w:trHeight w:val="321"/>
        </w:trPr>
        <w:tc>
          <w:tcPr>
            <w:tcW w:w="2235" w:type="dxa"/>
            <w:gridSpan w:val="2"/>
            <w:shd w:val="clear" w:color="auto" w:fill="auto"/>
            <w:vAlign w:val="center"/>
          </w:tcPr>
          <w:p w14:paraId="460D0A62" w14:textId="77777777" w:rsidR="00150938" w:rsidRPr="00150938" w:rsidRDefault="00150938" w:rsidP="00150938">
            <w:pPr>
              <w:widowControl w:val="0"/>
              <w:pBdr>
                <w:top w:val="nil"/>
                <w:left w:val="nil"/>
                <w:bottom w:val="nil"/>
                <w:right w:val="nil"/>
                <w:between w:val="nil"/>
              </w:pBdr>
              <w:spacing w:before="112" w:after="0" w:line="240" w:lineRule="auto"/>
              <w:ind w:right="444"/>
              <w:jc w:val="center"/>
              <w:rPr>
                <w:rFonts w:asciiTheme="majorBidi" w:hAnsiTheme="majorBidi" w:cstheme="majorBidi"/>
                <w:b/>
                <w:bCs/>
                <w:sz w:val="20"/>
                <w:szCs w:val="20"/>
              </w:rPr>
            </w:pPr>
            <w:r w:rsidRPr="00150938">
              <w:rPr>
                <w:rFonts w:asciiTheme="majorBidi" w:hAnsiTheme="majorBidi" w:cstheme="majorBidi"/>
                <w:b/>
                <w:bCs/>
                <w:sz w:val="20"/>
                <w:szCs w:val="20"/>
              </w:rPr>
              <w:t>N</w:t>
            </w:r>
          </w:p>
        </w:tc>
        <w:tc>
          <w:tcPr>
            <w:tcW w:w="1276" w:type="dxa"/>
            <w:shd w:val="clear" w:color="auto" w:fill="auto"/>
            <w:vAlign w:val="center"/>
          </w:tcPr>
          <w:p w14:paraId="7D541AE1" w14:textId="77777777" w:rsidR="00150938" w:rsidRPr="00150938" w:rsidRDefault="00150938" w:rsidP="00150938">
            <w:pPr>
              <w:widowControl w:val="0"/>
              <w:pBdr>
                <w:top w:val="nil"/>
                <w:left w:val="nil"/>
                <w:bottom w:val="nil"/>
                <w:right w:val="nil"/>
                <w:between w:val="nil"/>
              </w:pBdr>
              <w:spacing w:before="112" w:after="0" w:line="240" w:lineRule="auto"/>
              <w:ind w:left="162"/>
              <w:jc w:val="center"/>
              <w:rPr>
                <w:rFonts w:asciiTheme="majorBidi" w:hAnsiTheme="majorBidi" w:cstheme="majorBidi"/>
                <w:b/>
                <w:bCs/>
                <w:sz w:val="20"/>
                <w:szCs w:val="20"/>
              </w:rPr>
            </w:pPr>
            <w:r w:rsidRPr="00150938">
              <w:rPr>
                <w:rFonts w:asciiTheme="majorBidi" w:hAnsiTheme="majorBidi" w:cstheme="majorBidi"/>
                <w:b/>
                <w:bCs/>
                <w:sz w:val="20"/>
                <w:szCs w:val="20"/>
              </w:rPr>
              <w:t>Minimum</w:t>
            </w:r>
          </w:p>
        </w:tc>
        <w:tc>
          <w:tcPr>
            <w:tcW w:w="1276" w:type="dxa"/>
            <w:shd w:val="clear" w:color="auto" w:fill="auto"/>
            <w:vAlign w:val="center"/>
          </w:tcPr>
          <w:p w14:paraId="1E981C4E" w14:textId="77777777" w:rsidR="00150938" w:rsidRPr="00150938" w:rsidRDefault="00150938" w:rsidP="00150938">
            <w:pPr>
              <w:widowControl w:val="0"/>
              <w:pBdr>
                <w:top w:val="nil"/>
                <w:left w:val="nil"/>
                <w:bottom w:val="nil"/>
                <w:right w:val="nil"/>
                <w:between w:val="nil"/>
              </w:pBdr>
              <w:spacing w:before="112" w:after="0" w:line="240" w:lineRule="auto"/>
              <w:ind w:left="155"/>
              <w:jc w:val="center"/>
              <w:rPr>
                <w:rFonts w:asciiTheme="majorBidi" w:hAnsiTheme="majorBidi" w:cstheme="majorBidi"/>
                <w:b/>
                <w:bCs/>
                <w:sz w:val="20"/>
                <w:szCs w:val="20"/>
              </w:rPr>
            </w:pPr>
            <w:r w:rsidRPr="00150938">
              <w:rPr>
                <w:rFonts w:asciiTheme="majorBidi" w:hAnsiTheme="majorBidi" w:cstheme="majorBidi"/>
                <w:b/>
                <w:bCs/>
                <w:sz w:val="20"/>
                <w:szCs w:val="20"/>
              </w:rPr>
              <w:t>Maximum</w:t>
            </w:r>
          </w:p>
        </w:tc>
        <w:tc>
          <w:tcPr>
            <w:tcW w:w="1417" w:type="dxa"/>
            <w:shd w:val="clear" w:color="auto" w:fill="auto"/>
            <w:vAlign w:val="center"/>
          </w:tcPr>
          <w:p w14:paraId="4C82ABD6" w14:textId="77777777" w:rsidR="00150938" w:rsidRPr="00150938" w:rsidRDefault="00150938" w:rsidP="00150938">
            <w:pPr>
              <w:widowControl w:val="0"/>
              <w:pBdr>
                <w:top w:val="nil"/>
                <w:left w:val="nil"/>
                <w:bottom w:val="nil"/>
                <w:right w:val="nil"/>
                <w:between w:val="nil"/>
              </w:pBdr>
              <w:spacing w:before="112" w:after="0" w:line="240" w:lineRule="auto"/>
              <w:jc w:val="center"/>
              <w:rPr>
                <w:rFonts w:asciiTheme="majorBidi" w:hAnsiTheme="majorBidi" w:cstheme="majorBidi"/>
                <w:b/>
                <w:bCs/>
                <w:sz w:val="20"/>
                <w:szCs w:val="20"/>
              </w:rPr>
            </w:pPr>
            <w:r w:rsidRPr="00150938">
              <w:rPr>
                <w:rFonts w:asciiTheme="majorBidi" w:hAnsiTheme="majorBidi" w:cstheme="majorBidi"/>
                <w:b/>
                <w:bCs/>
                <w:sz w:val="20"/>
                <w:szCs w:val="20"/>
              </w:rPr>
              <w:t>Means</w:t>
            </w:r>
          </w:p>
        </w:tc>
        <w:tc>
          <w:tcPr>
            <w:tcW w:w="1191" w:type="dxa"/>
            <w:shd w:val="clear" w:color="auto" w:fill="auto"/>
            <w:vAlign w:val="center"/>
          </w:tcPr>
          <w:p w14:paraId="4C06FFDE" w14:textId="77777777" w:rsidR="00150938" w:rsidRPr="00150938" w:rsidRDefault="00150938" w:rsidP="00150938">
            <w:pPr>
              <w:widowControl w:val="0"/>
              <w:pBdr>
                <w:top w:val="nil"/>
                <w:left w:val="nil"/>
                <w:bottom w:val="nil"/>
                <w:right w:val="nil"/>
                <w:between w:val="nil"/>
              </w:pBdr>
              <w:spacing w:before="112" w:after="0" w:line="240" w:lineRule="auto"/>
              <w:ind w:left="156"/>
              <w:jc w:val="center"/>
              <w:rPr>
                <w:rFonts w:asciiTheme="majorBidi" w:hAnsiTheme="majorBidi" w:cstheme="majorBidi"/>
                <w:b/>
                <w:bCs/>
                <w:sz w:val="20"/>
                <w:szCs w:val="20"/>
              </w:rPr>
            </w:pPr>
            <w:r w:rsidRPr="00150938">
              <w:rPr>
                <w:rFonts w:asciiTheme="majorBidi" w:hAnsiTheme="majorBidi" w:cstheme="majorBidi"/>
                <w:b/>
                <w:bCs/>
                <w:sz w:val="20"/>
                <w:szCs w:val="20"/>
              </w:rPr>
              <w:t>std. Deviation</w:t>
            </w:r>
          </w:p>
        </w:tc>
      </w:tr>
      <w:tr w:rsidR="00150938" w:rsidRPr="00150938" w14:paraId="52EFA9E0" w14:textId="77777777" w:rsidTr="0066465F">
        <w:trPr>
          <w:trHeight w:val="318"/>
        </w:trPr>
        <w:tc>
          <w:tcPr>
            <w:tcW w:w="1707" w:type="dxa"/>
            <w:shd w:val="clear" w:color="auto" w:fill="auto"/>
          </w:tcPr>
          <w:p w14:paraId="6F01B67F" w14:textId="77777777" w:rsidR="00150938" w:rsidRPr="00150938" w:rsidRDefault="00150938" w:rsidP="00150938">
            <w:pPr>
              <w:widowControl w:val="0"/>
              <w:pBdr>
                <w:top w:val="nil"/>
                <w:left w:val="nil"/>
                <w:bottom w:val="nil"/>
                <w:right w:val="nil"/>
                <w:between w:val="nil"/>
              </w:pBdr>
              <w:spacing w:before="111" w:after="0" w:line="240" w:lineRule="auto"/>
              <w:ind w:left="60"/>
              <w:jc w:val="both"/>
              <w:rPr>
                <w:rFonts w:asciiTheme="majorBidi" w:hAnsiTheme="majorBidi" w:cstheme="majorBidi"/>
                <w:sz w:val="20"/>
                <w:szCs w:val="20"/>
              </w:rPr>
            </w:pPr>
            <w:r w:rsidRPr="00150938">
              <w:rPr>
                <w:rFonts w:asciiTheme="majorBidi" w:hAnsiTheme="majorBidi" w:cstheme="majorBidi"/>
                <w:sz w:val="20"/>
                <w:szCs w:val="20"/>
              </w:rPr>
              <w:t>LDR</w:t>
            </w:r>
          </w:p>
        </w:tc>
        <w:tc>
          <w:tcPr>
            <w:tcW w:w="528" w:type="dxa"/>
            <w:shd w:val="clear" w:color="auto" w:fill="auto"/>
          </w:tcPr>
          <w:p w14:paraId="2FC30B84" w14:textId="77777777" w:rsidR="00150938" w:rsidRPr="00150938" w:rsidRDefault="00150938" w:rsidP="00150938">
            <w:pPr>
              <w:widowControl w:val="0"/>
              <w:pBdr>
                <w:top w:val="nil"/>
                <w:left w:val="nil"/>
                <w:bottom w:val="nil"/>
                <w:right w:val="nil"/>
                <w:between w:val="nil"/>
              </w:pBdr>
              <w:spacing w:before="111" w:after="0" w:line="240" w:lineRule="auto"/>
              <w:ind w:right="55"/>
              <w:jc w:val="both"/>
              <w:rPr>
                <w:rFonts w:asciiTheme="majorBidi" w:hAnsiTheme="majorBidi" w:cstheme="majorBidi"/>
                <w:sz w:val="20"/>
                <w:szCs w:val="20"/>
              </w:rPr>
            </w:pPr>
            <w:r w:rsidRPr="00150938">
              <w:rPr>
                <w:rFonts w:asciiTheme="majorBidi" w:hAnsiTheme="majorBidi" w:cstheme="majorBidi"/>
                <w:sz w:val="20"/>
                <w:szCs w:val="20"/>
              </w:rPr>
              <w:t>15</w:t>
            </w:r>
          </w:p>
        </w:tc>
        <w:tc>
          <w:tcPr>
            <w:tcW w:w="1276" w:type="dxa"/>
            <w:shd w:val="clear" w:color="auto" w:fill="auto"/>
          </w:tcPr>
          <w:p w14:paraId="689D97A6" w14:textId="77777777" w:rsidR="00150938" w:rsidRPr="00150938" w:rsidRDefault="00150938" w:rsidP="00150938">
            <w:pPr>
              <w:widowControl w:val="0"/>
              <w:pBdr>
                <w:top w:val="nil"/>
                <w:left w:val="nil"/>
                <w:bottom w:val="nil"/>
                <w:right w:val="nil"/>
                <w:between w:val="nil"/>
              </w:pBdr>
              <w:spacing w:before="111" w:after="0" w:line="240" w:lineRule="auto"/>
              <w:ind w:left="544"/>
              <w:jc w:val="both"/>
              <w:rPr>
                <w:rFonts w:asciiTheme="majorBidi" w:hAnsiTheme="majorBidi" w:cstheme="majorBidi"/>
                <w:sz w:val="20"/>
                <w:szCs w:val="20"/>
              </w:rPr>
            </w:pPr>
            <w:r w:rsidRPr="00150938">
              <w:rPr>
                <w:rFonts w:asciiTheme="majorBidi" w:hAnsiTheme="majorBidi" w:cstheme="majorBidi"/>
                <w:sz w:val="20"/>
                <w:szCs w:val="20"/>
              </w:rPr>
              <w:t>66,47</w:t>
            </w:r>
          </w:p>
        </w:tc>
        <w:tc>
          <w:tcPr>
            <w:tcW w:w="1276" w:type="dxa"/>
            <w:shd w:val="clear" w:color="auto" w:fill="auto"/>
          </w:tcPr>
          <w:p w14:paraId="00CFAD33" w14:textId="77777777" w:rsidR="00150938" w:rsidRPr="00150938" w:rsidRDefault="00150938" w:rsidP="00150938">
            <w:pPr>
              <w:widowControl w:val="0"/>
              <w:pBdr>
                <w:top w:val="nil"/>
                <w:left w:val="nil"/>
                <w:bottom w:val="nil"/>
                <w:right w:val="nil"/>
                <w:between w:val="nil"/>
              </w:pBdr>
              <w:spacing w:before="111" w:after="0" w:line="240" w:lineRule="auto"/>
              <w:ind w:left="479"/>
              <w:jc w:val="both"/>
              <w:rPr>
                <w:rFonts w:asciiTheme="majorBidi" w:hAnsiTheme="majorBidi" w:cstheme="majorBidi"/>
                <w:sz w:val="20"/>
                <w:szCs w:val="20"/>
              </w:rPr>
            </w:pPr>
            <w:r w:rsidRPr="00150938">
              <w:rPr>
                <w:rFonts w:asciiTheme="majorBidi" w:hAnsiTheme="majorBidi" w:cstheme="majorBidi"/>
                <w:sz w:val="20"/>
                <w:szCs w:val="20"/>
              </w:rPr>
              <w:t>104.05</w:t>
            </w:r>
          </w:p>
        </w:tc>
        <w:tc>
          <w:tcPr>
            <w:tcW w:w="1417" w:type="dxa"/>
            <w:shd w:val="clear" w:color="auto" w:fill="auto"/>
          </w:tcPr>
          <w:p w14:paraId="3A34349A" w14:textId="77777777" w:rsidR="00150938" w:rsidRPr="00150938" w:rsidRDefault="00150938" w:rsidP="00150938">
            <w:pPr>
              <w:widowControl w:val="0"/>
              <w:pBdr>
                <w:top w:val="nil"/>
                <w:left w:val="nil"/>
                <w:bottom w:val="nil"/>
                <w:right w:val="nil"/>
                <w:between w:val="nil"/>
              </w:pBdr>
              <w:spacing w:before="111" w:after="0" w:line="240" w:lineRule="auto"/>
              <w:ind w:left="299"/>
              <w:jc w:val="both"/>
              <w:rPr>
                <w:rFonts w:asciiTheme="majorBidi" w:hAnsiTheme="majorBidi" w:cstheme="majorBidi"/>
                <w:sz w:val="20"/>
                <w:szCs w:val="20"/>
              </w:rPr>
            </w:pPr>
            <w:r w:rsidRPr="00150938">
              <w:rPr>
                <w:rFonts w:asciiTheme="majorBidi" w:hAnsiTheme="majorBidi" w:cstheme="majorBidi"/>
                <w:sz w:val="20"/>
                <w:szCs w:val="20"/>
              </w:rPr>
              <w:t>85.8647</w:t>
            </w:r>
          </w:p>
        </w:tc>
        <w:tc>
          <w:tcPr>
            <w:tcW w:w="1191" w:type="dxa"/>
            <w:shd w:val="clear" w:color="auto" w:fill="auto"/>
          </w:tcPr>
          <w:p w14:paraId="7FD2BED3" w14:textId="77777777" w:rsidR="00150938" w:rsidRPr="00150938" w:rsidRDefault="00150938" w:rsidP="00150938">
            <w:pPr>
              <w:widowControl w:val="0"/>
              <w:pBdr>
                <w:top w:val="nil"/>
                <w:left w:val="nil"/>
                <w:bottom w:val="nil"/>
                <w:right w:val="nil"/>
                <w:between w:val="nil"/>
              </w:pBdr>
              <w:spacing w:before="111" w:after="0" w:line="240" w:lineRule="auto"/>
              <w:ind w:left="250"/>
              <w:jc w:val="both"/>
              <w:rPr>
                <w:rFonts w:asciiTheme="majorBidi" w:hAnsiTheme="majorBidi" w:cstheme="majorBidi"/>
                <w:sz w:val="20"/>
                <w:szCs w:val="20"/>
              </w:rPr>
            </w:pPr>
            <w:r w:rsidRPr="00150938">
              <w:rPr>
                <w:rFonts w:asciiTheme="majorBidi" w:hAnsiTheme="majorBidi" w:cstheme="majorBidi"/>
                <w:sz w:val="20"/>
                <w:szCs w:val="20"/>
              </w:rPr>
              <w:t>9.10458</w:t>
            </w:r>
          </w:p>
        </w:tc>
      </w:tr>
      <w:tr w:rsidR="00150938" w:rsidRPr="00150938" w14:paraId="373C0A87" w14:textId="77777777" w:rsidTr="0066465F">
        <w:trPr>
          <w:trHeight w:val="320"/>
        </w:trPr>
        <w:tc>
          <w:tcPr>
            <w:tcW w:w="1707" w:type="dxa"/>
            <w:shd w:val="clear" w:color="auto" w:fill="auto"/>
          </w:tcPr>
          <w:p w14:paraId="4F54CEB7" w14:textId="77777777" w:rsidR="00150938" w:rsidRPr="00150938" w:rsidRDefault="00150938" w:rsidP="00150938">
            <w:pPr>
              <w:widowControl w:val="0"/>
              <w:pBdr>
                <w:top w:val="nil"/>
                <w:left w:val="nil"/>
                <w:bottom w:val="nil"/>
                <w:right w:val="nil"/>
                <w:between w:val="nil"/>
              </w:pBdr>
              <w:spacing w:before="114" w:after="0" w:line="240" w:lineRule="auto"/>
              <w:ind w:left="60"/>
              <w:jc w:val="both"/>
              <w:rPr>
                <w:rFonts w:asciiTheme="majorBidi" w:hAnsiTheme="majorBidi" w:cstheme="majorBidi"/>
                <w:sz w:val="20"/>
                <w:szCs w:val="20"/>
              </w:rPr>
            </w:pPr>
            <w:r w:rsidRPr="00150938">
              <w:rPr>
                <w:rFonts w:asciiTheme="majorBidi" w:hAnsiTheme="majorBidi" w:cstheme="majorBidi"/>
                <w:sz w:val="20"/>
                <w:szCs w:val="20"/>
              </w:rPr>
              <w:t>Valid N (listwise)</w:t>
            </w:r>
          </w:p>
        </w:tc>
        <w:tc>
          <w:tcPr>
            <w:tcW w:w="528" w:type="dxa"/>
            <w:shd w:val="clear" w:color="auto" w:fill="auto"/>
          </w:tcPr>
          <w:p w14:paraId="038B223E" w14:textId="77777777" w:rsidR="00150938" w:rsidRPr="00150938" w:rsidRDefault="00150938" w:rsidP="00150938">
            <w:pPr>
              <w:widowControl w:val="0"/>
              <w:pBdr>
                <w:top w:val="nil"/>
                <w:left w:val="nil"/>
                <w:bottom w:val="nil"/>
                <w:right w:val="nil"/>
                <w:between w:val="nil"/>
              </w:pBdr>
              <w:spacing w:before="114" w:after="0" w:line="240" w:lineRule="auto"/>
              <w:ind w:right="55"/>
              <w:jc w:val="both"/>
              <w:rPr>
                <w:rFonts w:asciiTheme="majorBidi" w:hAnsiTheme="majorBidi" w:cstheme="majorBidi"/>
                <w:sz w:val="20"/>
                <w:szCs w:val="20"/>
              </w:rPr>
            </w:pPr>
            <w:r w:rsidRPr="00150938">
              <w:rPr>
                <w:rFonts w:asciiTheme="majorBidi" w:hAnsiTheme="majorBidi" w:cstheme="majorBidi"/>
                <w:sz w:val="20"/>
                <w:szCs w:val="20"/>
              </w:rPr>
              <w:t>15</w:t>
            </w:r>
          </w:p>
        </w:tc>
        <w:tc>
          <w:tcPr>
            <w:tcW w:w="1276" w:type="dxa"/>
            <w:shd w:val="clear" w:color="auto" w:fill="auto"/>
          </w:tcPr>
          <w:p w14:paraId="0BAD5D3F" w14:textId="77777777" w:rsidR="00150938" w:rsidRPr="00150938" w:rsidRDefault="00150938" w:rsidP="00150938">
            <w:pPr>
              <w:widowControl w:val="0"/>
              <w:pBdr>
                <w:top w:val="nil"/>
                <w:left w:val="nil"/>
                <w:bottom w:val="nil"/>
                <w:right w:val="nil"/>
                <w:between w:val="nil"/>
              </w:pBdr>
              <w:spacing w:after="0" w:line="240" w:lineRule="auto"/>
              <w:jc w:val="both"/>
              <w:rPr>
                <w:rFonts w:asciiTheme="majorBidi" w:hAnsiTheme="majorBidi" w:cstheme="majorBidi"/>
                <w:sz w:val="20"/>
                <w:szCs w:val="20"/>
              </w:rPr>
            </w:pPr>
          </w:p>
        </w:tc>
        <w:tc>
          <w:tcPr>
            <w:tcW w:w="1276" w:type="dxa"/>
            <w:shd w:val="clear" w:color="auto" w:fill="auto"/>
          </w:tcPr>
          <w:p w14:paraId="14DF009F" w14:textId="77777777" w:rsidR="00150938" w:rsidRPr="00150938" w:rsidRDefault="00150938" w:rsidP="00150938">
            <w:pPr>
              <w:widowControl w:val="0"/>
              <w:pBdr>
                <w:top w:val="nil"/>
                <w:left w:val="nil"/>
                <w:bottom w:val="nil"/>
                <w:right w:val="nil"/>
                <w:between w:val="nil"/>
              </w:pBdr>
              <w:spacing w:after="0" w:line="240" w:lineRule="auto"/>
              <w:jc w:val="both"/>
              <w:rPr>
                <w:rFonts w:asciiTheme="majorBidi" w:hAnsiTheme="majorBidi" w:cstheme="majorBidi"/>
                <w:sz w:val="20"/>
                <w:szCs w:val="20"/>
              </w:rPr>
            </w:pPr>
          </w:p>
        </w:tc>
        <w:tc>
          <w:tcPr>
            <w:tcW w:w="1417" w:type="dxa"/>
            <w:shd w:val="clear" w:color="auto" w:fill="auto"/>
          </w:tcPr>
          <w:p w14:paraId="4A279938" w14:textId="77777777" w:rsidR="00150938" w:rsidRPr="00150938" w:rsidRDefault="00150938" w:rsidP="00150938">
            <w:pPr>
              <w:widowControl w:val="0"/>
              <w:pBdr>
                <w:top w:val="nil"/>
                <w:left w:val="nil"/>
                <w:bottom w:val="nil"/>
                <w:right w:val="nil"/>
                <w:between w:val="nil"/>
              </w:pBdr>
              <w:spacing w:after="0" w:line="240" w:lineRule="auto"/>
              <w:jc w:val="both"/>
              <w:rPr>
                <w:rFonts w:asciiTheme="majorBidi" w:hAnsiTheme="majorBidi" w:cstheme="majorBidi"/>
                <w:sz w:val="20"/>
                <w:szCs w:val="20"/>
              </w:rPr>
            </w:pPr>
          </w:p>
        </w:tc>
        <w:tc>
          <w:tcPr>
            <w:tcW w:w="1191" w:type="dxa"/>
            <w:shd w:val="clear" w:color="auto" w:fill="auto"/>
          </w:tcPr>
          <w:p w14:paraId="6C2DE1CB" w14:textId="77777777" w:rsidR="00150938" w:rsidRPr="00150938" w:rsidRDefault="00150938" w:rsidP="00150938">
            <w:pPr>
              <w:widowControl w:val="0"/>
              <w:pBdr>
                <w:top w:val="nil"/>
                <w:left w:val="nil"/>
                <w:bottom w:val="nil"/>
                <w:right w:val="nil"/>
                <w:between w:val="nil"/>
              </w:pBdr>
              <w:spacing w:after="0" w:line="240" w:lineRule="auto"/>
              <w:jc w:val="both"/>
              <w:rPr>
                <w:rFonts w:asciiTheme="majorBidi" w:hAnsiTheme="majorBidi" w:cstheme="majorBidi"/>
                <w:sz w:val="20"/>
                <w:szCs w:val="20"/>
              </w:rPr>
            </w:pPr>
          </w:p>
        </w:tc>
      </w:tr>
    </w:tbl>
    <w:p w14:paraId="156CB889" w14:textId="77777777" w:rsidR="00150938" w:rsidRPr="00150938" w:rsidRDefault="00150938" w:rsidP="00150938">
      <w:pPr>
        <w:widowControl w:val="0"/>
        <w:pBdr>
          <w:top w:val="nil"/>
          <w:left w:val="nil"/>
          <w:bottom w:val="nil"/>
          <w:right w:val="nil"/>
          <w:between w:val="nil"/>
        </w:pBdr>
        <w:spacing w:before="123" w:after="0" w:line="240" w:lineRule="auto"/>
        <w:ind w:left="588"/>
        <w:jc w:val="both"/>
        <w:rPr>
          <w:rFonts w:asciiTheme="majorBidi" w:hAnsiTheme="majorBidi" w:cstheme="majorBidi"/>
          <w:color w:val="000000"/>
          <w:sz w:val="20"/>
          <w:szCs w:val="20"/>
        </w:rPr>
      </w:pPr>
      <w:r w:rsidRPr="00150938">
        <w:rPr>
          <w:rFonts w:asciiTheme="majorBidi" w:hAnsiTheme="majorBidi" w:cstheme="majorBidi"/>
          <w:color w:val="000000"/>
          <w:sz w:val="20"/>
          <w:szCs w:val="20"/>
        </w:rPr>
        <w:lastRenderedPageBreak/>
        <w:t>Source: Processed results of SPSS 24, 2021</w:t>
      </w:r>
    </w:p>
    <w:p w14:paraId="06F00AEF" w14:textId="77777777" w:rsidR="00150938" w:rsidRPr="00150938" w:rsidRDefault="00150938" w:rsidP="00150938">
      <w:pPr>
        <w:pStyle w:val="Heading1"/>
        <w:spacing w:before="4" w:line="240" w:lineRule="auto"/>
        <w:ind w:right="30"/>
        <w:jc w:val="both"/>
        <w:rPr>
          <w:rFonts w:asciiTheme="majorBidi" w:hAnsiTheme="majorBidi" w:cstheme="majorBidi"/>
          <w:b w:val="0"/>
          <w:smallCaps/>
        </w:rPr>
      </w:pPr>
    </w:p>
    <w:p w14:paraId="41E017EA" w14:textId="77777777" w:rsidR="00150938" w:rsidRPr="00150938" w:rsidRDefault="00150938" w:rsidP="00150938">
      <w:pPr>
        <w:pStyle w:val="Heading1"/>
        <w:spacing w:before="4" w:line="240" w:lineRule="auto"/>
        <w:ind w:right="30" w:firstLine="720"/>
        <w:jc w:val="both"/>
        <w:rPr>
          <w:rFonts w:asciiTheme="majorBidi" w:hAnsiTheme="majorBidi" w:cstheme="majorBidi"/>
          <w:b w:val="0"/>
          <w:smallCaps/>
        </w:rPr>
      </w:pPr>
      <w:r w:rsidRPr="00150938">
        <w:rPr>
          <w:rFonts w:asciiTheme="majorBidi" w:hAnsiTheme="majorBidi" w:cstheme="majorBidi"/>
          <w:b w:val="0"/>
        </w:rPr>
        <w:t>Table 4.1 displays the Loan to Deposit Ratio (LDR) of all banking companies listed on the Indonesia Stock Exchange from 2015 to 2019, with a total sample size of 15 data points, a minimum value of 66.47, a maximum value of 104.05, and an average value of 85.8647 with a standard deviation of 9.10458.</w:t>
      </w:r>
    </w:p>
    <w:p w14:paraId="4D024279" w14:textId="77777777" w:rsidR="00150938" w:rsidRPr="00150938" w:rsidRDefault="00150938" w:rsidP="00150938">
      <w:pPr>
        <w:pStyle w:val="Heading1"/>
        <w:spacing w:line="240" w:lineRule="auto"/>
        <w:ind w:right="30"/>
        <w:rPr>
          <w:rFonts w:asciiTheme="majorBidi" w:hAnsiTheme="majorBidi" w:cstheme="majorBidi"/>
          <w:lang w:val="en-US"/>
        </w:rPr>
      </w:pPr>
      <w:r w:rsidRPr="00150938">
        <w:rPr>
          <w:rFonts w:asciiTheme="majorBidi" w:hAnsiTheme="majorBidi" w:cstheme="majorBidi"/>
        </w:rPr>
        <w:t>Table 4.</w:t>
      </w:r>
      <w:r w:rsidRPr="00150938">
        <w:rPr>
          <w:rFonts w:asciiTheme="majorBidi" w:hAnsiTheme="majorBidi" w:cstheme="majorBidi"/>
          <w:lang w:val="en-US"/>
        </w:rPr>
        <w:t>2</w:t>
      </w:r>
    </w:p>
    <w:p w14:paraId="6ABD0D52" w14:textId="77777777" w:rsidR="00150938" w:rsidRPr="00150938" w:rsidRDefault="00150938" w:rsidP="00150938">
      <w:pPr>
        <w:spacing w:after="0" w:line="240" w:lineRule="auto"/>
        <w:ind w:right="30"/>
        <w:jc w:val="center"/>
        <w:rPr>
          <w:rFonts w:asciiTheme="majorBidi" w:hAnsiTheme="majorBidi" w:cstheme="majorBidi"/>
          <w:b/>
          <w:sz w:val="20"/>
          <w:szCs w:val="20"/>
        </w:rPr>
      </w:pPr>
      <w:r w:rsidRPr="00150938">
        <w:rPr>
          <w:rFonts w:asciiTheme="majorBidi" w:hAnsiTheme="majorBidi" w:cstheme="majorBidi"/>
          <w:b/>
          <w:sz w:val="20"/>
          <w:szCs w:val="20"/>
        </w:rPr>
        <w:t>Variable Descriptive Statistics Return On Assets (ROA)</w:t>
      </w:r>
    </w:p>
    <w:p w14:paraId="71B4FC2C" w14:textId="77777777" w:rsidR="00150938" w:rsidRPr="00150938" w:rsidRDefault="00150938" w:rsidP="00150938">
      <w:pPr>
        <w:spacing w:after="0" w:line="240" w:lineRule="auto"/>
        <w:ind w:right="30"/>
        <w:jc w:val="center"/>
        <w:rPr>
          <w:rFonts w:asciiTheme="majorBidi" w:hAnsiTheme="majorBidi" w:cstheme="majorBidi"/>
          <w:b/>
          <w:sz w:val="20"/>
          <w:szCs w:val="20"/>
        </w:rPr>
      </w:pPr>
      <w:r w:rsidRPr="00150938">
        <w:rPr>
          <w:rFonts w:asciiTheme="majorBidi" w:hAnsiTheme="majorBidi" w:cstheme="majorBidi"/>
          <w:b/>
          <w:color w:val="000104"/>
          <w:sz w:val="20"/>
          <w:szCs w:val="20"/>
        </w:rPr>
        <w:t>Descriptive Statistics</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67"/>
        <w:gridCol w:w="1275"/>
        <w:gridCol w:w="1276"/>
        <w:gridCol w:w="1305"/>
        <w:gridCol w:w="1672"/>
      </w:tblGrid>
      <w:tr w:rsidR="00150938" w:rsidRPr="00150938" w14:paraId="15253C5E" w14:textId="77777777" w:rsidTr="0066465F">
        <w:trPr>
          <w:trHeight w:val="318"/>
        </w:trPr>
        <w:tc>
          <w:tcPr>
            <w:tcW w:w="2694" w:type="dxa"/>
            <w:gridSpan w:val="2"/>
            <w:shd w:val="clear" w:color="auto" w:fill="auto"/>
            <w:vAlign w:val="center"/>
          </w:tcPr>
          <w:p w14:paraId="473B07B7" w14:textId="77777777" w:rsidR="00150938" w:rsidRPr="00150938" w:rsidRDefault="00150938" w:rsidP="00150938">
            <w:pPr>
              <w:widowControl w:val="0"/>
              <w:pBdr>
                <w:top w:val="nil"/>
                <w:left w:val="nil"/>
                <w:bottom w:val="nil"/>
                <w:right w:val="nil"/>
                <w:between w:val="nil"/>
              </w:pBdr>
              <w:spacing w:after="0" w:line="240" w:lineRule="auto"/>
              <w:ind w:right="444"/>
              <w:jc w:val="center"/>
              <w:rPr>
                <w:rFonts w:asciiTheme="majorBidi" w:hAnsiTheme="majorBidi" w:cstheme="majorBidi"/>
                <w:b/>
                <w:bCs/>
                <w:sz w:val="20"/>
                <w:szCs w:val="20"/>
              </w:rPr>
            </w:pPr>
            <w:r w:rsidRPr="00150938">
              <w:rPr>
                <w:rFonts w:asciiTheme="majorBidi" w:hAnsiTheme="majorBidi" w:cstheme="majorBidi"/>
                <w:b/>
                <w:bCs/>
                <w:sz w:val="20"/>
                <w:szCs w:val="20"/>
              </w:rPr>
              <w:t>N</w:t>
            </w:r>
          </w:p>
        </w:tc>
        <w:tc>
          <w:tcPr>
            <w:tcW w:w="1275" w:type="dxa"/>
            <w:shd w:val="clear" w:color="auto" w:fill="auto"/>
            <w:vAlign w:val="center"/>
          </w:tcPr>
          <w:p w14:paraId="3EA3C854" w14:textId="77777777" w:rsidR="00150938" w:rsidRPr="00150938" w:rsidRDefault="00150938" w:rsidP="00150938">
            <w:pPr>
              <w:widowControl w:val="0"/>
              <w:pBdr>
                <w:top w:val="nil"/>
                <w:left w:val="nil"/>
                <w:bottom w:val="nil"/>
                <w:right w:val="nil"/>
                <w:between w:val="nil"/>
              </w:pBdr>
              <w:spacing w:after="0" w:line="240" w:lineRule="auto"/>
              <w:ind w:left="162"/>
              <w:jc w:val="center"/>
              <w:rPr>
                <w:rFonts w:asciiTheme="majorBidi" w:hAnsiTheme="majorBidi" w:cstheme="majorBidi"/>
                <w:b/>
                <w:bCs/>
                <w:sz w:val="20"/>
                <w:szCs w:val="20"/>
              </w:rPr>
            </w:pPr>
            <w:r w:rsidRPr="00150938">
              <w:rPr>
                <w:rFonts w:asciiTheme="majorBidi" w:hAnsiTheme="majorBidi" w:cstheme="majorBidi"/>
                <w:b/>
                <w:bCs/>
                <w:sz w:val="20"/>
                <w:szCs w:val="20"/>
              </w:rPr>
              <w:t>Minimum</w:t>
            </w:r>
          </w:p>
        </w:tc>
        <w:tc>
          <w:tcPr>
            <w:tcW w:w="1276" w:type="dxa"/>
            <w:shd w:val="clear" w:color="auto" w:fill="auto"/>
            <w:vAlign w:val="center"/>
          </w:tcPr>
          <w:p w14:paraId="2C4917FB" w14:textId="77777777" w:rsidR="00150938" w:rsidRPr="00150938" w:rsidRDefault="00150938" w:rsidP="00150938">
            <w:pPr>
              <w:widowControl w:val="0"/>
              <w:pBdr>
                <w:top w:val="nil"/>
                <w:left w:val="nil"/>
                <w:bottom w:val="nil"/>
                <w:right w:val="nil"/>
                <w:between w:val="nil"/>
              </w:pBdr>
              <w:spacing w:after="0" w:line="240" w:lineRule="auto"/>
              <w:ind w:left="155"/>
              <w:jc w:val="center"/>
              <w:rPr>
                <w:rFonts w:asciiTheme="majorBidi" w:hAnsiTheme="majorBidi" w:cstheme="majorBidi"/>
                <w:b/>
                <w:bCs/>
                <w:sz w:val="20"/>
                <w:szCs w:val="20"/>
              </w:rPr>
            </w:pPr>
            <w:r w:rsidRPr="00150938">
              <w:rPr>
                <w:rFonts w:asciiTheme="majorBidi" w:hAnsiTheme="majorBidi" w:cstheme="majorBidi"/>
                <w:b/>
                <w:bCs/>
                <w:sz w:val="20"/>
                <w:szCs w:val="20"/>
              </w:rPr>
              <w:t>Maximum</w:t>
            </w:r>
          </w:p>
        </w:tc>
        <w:tc>
          <w:tcPr>
            <w:tcW w:w="1305" w:type="dxa"/>
            <w:shd w:val="clear" w:color="auto" w:fill="auto"/>
            <w:vAlign w:val="center"/>
          </w:tcPr>
          <w:p w14:paraId="0B29CD61" w14:textId="77777777" w:rsidR="00150938" w:rsidRPr="00150938" w:rsidRDefault="00150938" w:rsidP="00150938">
            <w:pPr>
              <w:widowControl w:val="0"/>
              <w:pBdr>
                <w:top w:val="nil"/>
                <w:left w:val="nil"/>
                <w:bottom w:val="nil"/>
                <w:right w:val="nil"/>
                <w:between w:val="nil"/>
              </w:pBdr>
              <w:spacing w:after="0" w:line="240" w:lineRule="auto"/>
              <w:ind w:left="278"/>
              <w:jc w:val="center"/>
              <w:rPr>
                <w:rFonts w:asciiTheme="majorBidi" w:hAnsiTheme="majorBidi" w:cstheme="majorBidi"/>
                <w:b/>
                <w:bCs/>
                <w:sz w:val="20"/>
                <w:szCs w:val="20"/>
              </w:rPr>
            </w:pPr>
            <w:r w:rsidRPr="00150938">
              <w:rPr>
                <w:rFonts w:asciiTheme="majorBidi" w:hAnsiTheme="majorBidi" w:cstheme="majorBidi"/>
                <w:b/>
                <w:bCs/>
                <w:sz w:val="20"/>
                <w:szCs w:val="20"/>
              </w:rPr>
              <w:t>Means</w:t>
            </w:r>
          </w:p>
        </w:tc>
        <w:tc>
          <w:tcPr>
            <w:tcW w:w="1672" w:type="dxa"/>
            <w:shd w:val="clear" w:color="auto" w:fill="auto"/>
            <w:vAlign w:val="center"/>
          </w:tcPr>
          <w:p w14:paraId="5DB8C9DE" w14:textId="77777777" w:rsidR="00150938" w:rsidRPr="00150938" w:rsidRDefault="00150938" w:rsidP="00150938">
            <w:pPr>
              <w:widowControl w:val="0"/>
              <w:pBdr>
                <w:top w:val="nil"/>
                <w:left w:val="nil"/>
                <w:bottom w:val="nil"/>
                <w:right w:val="nil"/>
                <w:between w:val="nil"/>
              </w:pBdr>
              <w:spacing w:after="0" w:line="240" w:lineRule="auto"/>
              <w:ind w:left="156"/>
              <w:jc w:val="center"/>
              <w:rPr>
                <w:rFonts w:asciiTheme="majorBidi" w:hAnsiTheme="majorBidi" w:cstheme="majorBidi"/>
                <w:b/>
                <w:bCs/>
                <w:sz w:val="20"/>
                <w:szCs w:val="20"/>
              </w:rPr>
            </w:pPr>
            <w:r w:rsidRPr="00150938">
              <w:rPr>
                <w:rFonts w:asciiTheme="majorBidi" w:hAnsiTheme="majorBidi" w:cstheme="majorBidi"/>
                <w:b/>
                <w:bCs/>
                <w:sz w:val="20"/>
                <w:szCs w:val="20"/>
              </w:rPr>
              <w:t>std. Deviation</w:t>
            </w:r>
          </w:p>
        </w:tc>
      </w:tr>
      <w:tr w:rsidR="00150938" w:rsidRPr="00150938" w14:paraId="27C3EC35" w14:textId="77777777" w:rsidTr="0066465F">
        <w:trPr>
          <w:trHeight w:val="320"/>
        </w:trPr>
        <w:tc>
          <w:tcPr>
            <w:tcW w:w="2127" w:type="dxa"/>
            <w:shd w:val="clear" w:color="auto" w:fill="auto"/>
          </w:tcPr>
          <w:p w14:paraId="50899925" w14:textId="77777777" w:rsidR="00150938" w:rsidRPr="00150938" w:rsidRDefault="00150938" w:rsidP="00150938">
            <w:pPr>
              <w:widowControl w:val="0"/>
              <w:pBdr>
                <w:top w:val="nil"/>
                <w:left w:val="nil"/>
                <w:bottom w:val="nil"/>
                <w:right w:val="nil"/>
                <w:between w:val="nil"/>
              </w:pBdr>
              <w:spacing w:after="0" w:line="240" w:lineRule="auto"/>
              <w:ind w:left="60"/>
              <w:jc w:val="both"/>
              <w:rPr>
                <w:rFonts w:asciiTheme="majorBidi" w:hAnsiTheme="majorBidi" w:cstheme="majorBidi"/>
                <w:sz w:val="20"/>
                <w:szCs w:val="20"/>
              </w:rPr>
            </w:pPr>
            <w:r w:rsidRPr="00150938">
              <w:rPr>
                <w:rFonts w:asciiTheme="majorBidi" w:hAnsiTheme="majorBidi" w:cstheme="majorBidi"/>
                <w:sz w:val="20"/>
                <w:szCs w:val="20"/>
              </w:rPr>
              <w:t>ROA</w:t>
            </w:r>
          </w:p>
        </w:tc>
        <w:tc>
          <w:tcPr>
            <w:tcW w:w="567" w:type="dxa"/>
            <w:shd w:val="clear" w:color="auto" w:fill="auto"/>
          </w:tcPr>
          <w:p w14:paraId="49C506B8" w14:textId="77777777" w:rsidR="00150938" w:rsidRPr="00150938" w:rsidRDefault="00150938" w:rsidP="00150938">
            <w:pPr>
              <w:widowControl w:val="0"/>
              <w:pBdr>
                <w:top w:val="nil"/>
                <w:left w:val="nil"/>
                <w:bottom w:val="nil"/>
                <w:right w:val="nil"/>
                <w:between w:val="nil"/>
              </w:pBdr>
              <w:spacing w:after="0" w:line="240" w:lineRule="auto"/>
              <w:ind w:right="55"/>
              <w:jc w:val="both"/>
              <w:rPr>
                <w:rFonts w:asciiTheme="majorBidi" w:hAnsiTheme="majorBidi" w:cstheme="majorBidi"/>
                <w:sz w:val="20"/>
                <w:szCs w:val="20"/>
              </w:rPr>
            </w:pPr>
            <w:r w:rsidRPr="00150938">
              <w:rPr>
                <w:rFonts w:asciiTheme="majorBidi" w:hAnsiTheme="majorBidi" w:cstheme="majorBidi"/>
                <w:sz w:val="20"/>
                <w:szCs w:val="20"/>
              </w:rPr>
              <w:t>15</w:t>
            </w:r>
          </w:p>
        </w:tc>
        <w:tc>
          <w:tcPr>
            <w:tcW w:w="1275" w:type="dxa"/>
            <w:shd w:val="clear" w:color="auto" w:fill="auto"/>
          </w:tcPr>
          <w:p w14:paraId="269F985D" w14:textId="77777777" w:rsidR="00150938" w:rsidRPr="00150938" w:rsidRDefault="00150938" w:rsidP="00150938">
            <w:pPr>
              <w:widowControl w:val="0"/>
              <w:pBdr>
                <w:top w:val="nil"/>
                <w:left w:val="nil"/>
                <w:bottom w:val="nil"/>
                <w:right w:val="nil"/>
                <w:between w:val="nil"/>
              </w:pBdr>
              <w:spacing w:after="0" w:line="240" w:lineRule="auto"/>
              <w:ind w:right="56"/>
              <w:jc w:val="both"/>
              <w:rPr>
                <w:rFonts w:asciiTheme="majorBidi" w:hAnsiTheme="majorBidi" w:cstheme="majorBidi"/>
                <w:sz w:val="20"/>
                <w:szCs w:val="20"/>
              </w:rPr>
            </w:pPr>
            <w:r w:rsidRPr="00150938">
              <w:rPr>
                <w:rFonts w:asciiTheme="majorBidi" w:hAnsiTheme="majorBidi" w:cstheme="majorBidi"/>
                <w:sz w:val="20"/>
                <w:szCs w:val="20"/>
              </w:rPr>
              <w:t>,22</w:t>
            </w:r>
          </w:p>
        </w:tc>
        <w:tc>
          <w:tcPr>
            <w:tcW w:w="1276" w:type="dxa"/>
            <w:shd w:val="clear" w:color="auto" w:fill="auto"/>
          </w:tcPr>
          <w:p w14:paraId="53A4E141" w14:textId="77777777" w:rsidR="00150938" w:rsidRPr="00150938" w:rsidRDefault="00150938" w:rsidP="00150938">
            <w:pPr>
              <w:widowControl w:val="0"/>
              <w:pBdr>
                <w:top w:val="nil"/>
                <w:left w:val="nil"/>
                <w:bottom w:val="nil"/>
                <w:right w:val="nil"/>
                <w:between w:val="nil"/>
              </w:pBdr>
              <w:spacing w:after="0" w:line="240" w:lineRule="auto"/>
              <w:ind w:left="679"/>
              <w:jc w:val="both"/>
              <w:rPr>
                <w:rFonts w:asciiTheme="majorBidi" w:hAnsiTheme="majorBidi" w:cstheme="majorBidi"/>
                <w:sz w:val="20"/>
                <w:szCs w:val="20"/>
              </w:rPr>
            </w:pPr>
            <w:r w:rsidRPr="00150938">
              <w:rPr>
                <w:rFonts w:asciiTheme="majorBidi" w:hAnsiTheme="majorBidi" w:cstheme="majorBidi"/>
                <w:sz w:val="20"/>
                <w:szCs w:val="20"/>
              </w:rPr>
              <w:t>2,21</w:t>
            </w:r>
          </w:p>
        </w:tc>
        <w:tc>
          <w:tcPr>
            <w:tcW w:w="1305" w:type="dxa"/>
            <w:shd w:val="clear" w:color="auto" w:fill="auto"/>
          </w:tcPr>
          <w:p w14:paraId="776260AA" w14:textId="77777777" w:rsidR="00150938" w:rsidRPr="00150938" w:rsidRDefault="00150938" w:rsidP="00150938">
            <w:pPr>
              <w:widowControl w:val="0"/>
              <w:pBdr>
                <w:top w:val="nil"/>
                <w:left w:val="nil"/>
                <w:bottom w:val="nil"/>
                <w:right w:val="nil"/>
                <w:between w:val="nil"/>
              </w:pBdr>
              <w:spacing w:after="0" w:line="240" w:lineRule="auto"/>
              <w:ind w:left="498"/>
              <w:jc w:val="both"/>
              <w:rPr>
                <w:rFonts w:asciiTheme="majorBidi" w:hAnsiTheme="majorBidi" w:cstheme="majorBidi"/>
                <w:sz w:val="20"/>
                <w:szCs w:val="20"/>
              </w:rPr>
            </w:pPr>
            <w:r w:rsidRPr="00150938">
              <w:rPr>
                <w:rFonts w:asciiTheme="majorBidi" w:hAnsiTheme="majorBidi" w:cstheme="majorBidi"/>
                <w:sz w:val="20"/>
                <w:szCs w:val="20"/>
              </w:rPr>
              <w:t>,9747</w:t>
            </w:r>
          </w:p>
        </w:tc>
        <w:tc>
          <w:tcPr>
            <w:tcW w:w="1672" w:type="dxa"/>
            <w:shd w:val="clear" w:color="auto" w:fill="auto"/>
          </w:tcPr>
          <w:p w14:paraId="142342BC" w14:textId="77777777" w:rsidR="00150938" w:rsidRPr="00150938" w:rsidRDefault="00150938" w:rsidP="00150938">
            <w:pPr>
              <w:widowControl w:val="0"/>
              <w:pBdr>
                <w:top w:val="nil"/>
                <w:left w:val="nil"/>
                <w:bottom w:val="nil"/>
                <w:right w:val="nil"/>
                <w:between w:val="nil"/>
              </w:pBdr>
              <w:spacing w:after="0" w:line="240" w:lineRule="auto"/>
              <w:ind w:left="826"/>
              <w:jc w:val="both"/>
              <w:rPr>
                <w:rFonts w:asciiTheme="majorBidi" w:hAnsiTheme="majorBidi" w:cstheme="majorBidi"/>
                <w:sz w:val="20"/>
                <w:szCs w:val="20"/>
              </w:rPr>
            </w:pPr>
            <w:r w:rsidRPr="00150938">
              <w:rPr>
                <w:rFonts w:asciiTheme="majorBidi" w:hAnsiTheme="majorBidi" w:cstheme="majorBidi"/>
                <w:sz w:val="20"/>
                <w:szCs w:val="20"/>
              </w:rPr>
              <w:t>,73295</w:t>
            </w:r>
          </w:p>
        </w:tc>
      </w:tr>
      <w:tr w:rsidR="00150938" w:rsidRPr="00150938" w14:paraId="4DE3AFE1" w14:textId="77777777" w:rsidTr="0066465F">
        <w:trPr>
          <w:trHeight w:val="320"/>
        </w:trPr>
        <w:tc>
          <w:tcPr>
            <w:tcW w:w="2127" w:type="dxa"/>
            <w:shd w:val="clear" w:color="auto" w:fill="auto"/>
          </w:tcPr>
          <w:p w14:paraId="224972CA" w14:textId="77777777" w:rsidR="00150938" w:rsidRPr="00150938" w:rsidRDefault="00150938" w:rsidP="00150938">
            <w:pPr>
              <w:widowControl w:val="0"/>
              <w:pBdr>
                <w:top w:val="nil"/>
                <w:left w:val="nil"/>
                <w:bottom w:val="nil"/>
                <w:right w:val="nil"/>
                <w:between w:val="nil"/>
              </w:pBdr>
              <w:spacing w:after="0" w:line="240" w:lineRule="auto"/>
              <w:ind w:left="60"/>
              <w:jc w:val="both"/>
              <w:rPr>
                <w:rFonts w:asciiTheme="majorBidi" w:hAnsiTheme="majorBidi" w:cstheme="majorBidi"/>
                <w:sz w:val="20"/>
                <w:szCs w:val="20"/>
              </w:rPr>
            </w:pPr>
            <w:r w:rsidRPr="00150938">
              <w:rPr>
                <w:rFonts w:asciiTheme="majorBidi" w:hAnsiTheme="majorBidi" w:cstheme="majorBidi"/>
                <w:sz w:val="20"/>
                <w:szCs w:val="20"/>
              </w:rPr>
              <w:t>Valid N (listwise)</w:t>
            </w:r>
          </w:p>
        </w:tc>
        <w:tc>
          <w:tcPr>
            <w:tcW w:w="567" w:type="dxa"/>
            <w:shd w:val="clear" w:color="auto" w:fill="auto"/>
          </w:tcPr>
          <w:p w14:paraId="76C5786F" w14:textId="77777777" w:rsidR="00150938" w:rsidRPr="00150938" w:rsidRDefault="00150938" w:rsidP="00150938">
            <w:pPr>
              <w:widowControl w:val="0"/>
              <w:pBdr>
                <w:top w:val="nil"/>
                <w:left w:val="nil"/>
                <w:bottom w:val="nil"/>
                <w:right w:val="nil"/>
                <w:between w:val="nil"/>
              </w:pBdr>
              <w:spacing w:after="0" w:line="240" w:lineRule="auto"/>
              <w:ind w:right="55"/>
              <w:jc w:val="both"/>
              <w:rPr>
                <w:rFonts w:asciiTheme="majorBidi" w:hAnsiTheme="majorBidi" w:cstheme="majorBidi"/>
                <w:sz w:val="20"/>
                <w:szCs w:val="20"/>
              </w:rPr>
            </w:pPr>
            <w:r w:rsidRPr="00150938">
              <w:rPr>
                <w:rFonts w:asciiTheme="majorBidi" w:hAnsiTheme="majorBidi" w:cstheme="majorBidi"/>
                <w:sz w:val="20"/>
                <w:szCs w:val="20"/>
              </w:rPr>
              <w:t>15</w:t>
            </w:r>
          </w:p>
        </w:tc>
        <w:tc>
          <w:tcPr>
            <w:tcW w:w="1275" w:type="dxa"/>
            <w:shd w:val="clear" w:color="auto" w:fill="auto"/>
          </w:tcPr>
          <w:p w14:paraId="10AA3E5A" w14:textId="77777777" w:rsidR="00150938" w:rsidRPr="00150938" w:rsidRDefault="00150938" w:rsidP="00150938">
            <w:pPr>
              <w:widowControl w:val="0"/>
              <w:pBdr>
                <w:top w:val="nil"/>
                <w:left w:val="nil"/>
                <w:bottom w:val="nil"/>
                <w:right w:val="nil"/>
                <w:between w:val="nil"/>
              </w:pBdr>
              <w:spacing w:after="0" w:line="240" w:lineRule="auto"/>
              <w:jc w:val="both"/>
              <w:rPr>
                <w:rFonts w:asciiTheme="majorBidi" w:hAnsiTheme="majorBidi" w:cstheme="majorBidi"/>
                <w:sz w:val="20"/>
                <w:szCs w:val="20"/>
              </w:rPr>
            </w:pPr>
          </w:p>
        </w:tc>
        <w:tc>
          <w:tcPr>
            <w:tcW w:w="1276" w:type="dxa"/>
            <w:shd w:val="clear" w:color="auto" w:fill="auto"/>
          </w:tcPr>
          <w:p w14:paraId="6E26B844" w14:textId="77777777" w:rsidR="00150938" w:rsidRPr="00150938" w:rsidRDefault="00150938" w:rsidP="00150938">
            <w:pPr>
              <w:widowControl w:val="0"/>
              <w:pBdr>
                <w:top w:val="nil"/>
                <w:left w:val="nil"/>
                <w:bottom w:val="nil"/>
                <w:right w:val="nil"/>
                <w:between w:val="nil"/>
              </w:pBdr>
              <w:spacing w:after="0" w:line="240" w:lineRule="auto"/>
              <w:jc w:val="both"/>
              <w:rPr>
                <w:rFonts w:asciiTheme="majorBidi" w:hAnsiTheme="majorBidi" w:cstheme="majorBidi"/>
                <w:sz w:val="20"/>
                <w:szCs w:val="20"/>
              </w:rPr>
            </w:pPr>
          </w:p>
        </w:tc>
        <w:tc>
          <w:tcPr>
            <w:tcW w:w="1305" w:type="dxa"/>
            <w:shd w:val="clear" w:color="auto" w:fill="auto"/>
          </w:tcPr>
          <w:p w14:paraId="5E780409" w14:textId="77777777" w:rsidR="00150938" w:rsidRPr="00150938" w:rsidRDefault="00150938" w:rsidP="00150938">
            <w:pPr>
              <w:widowControl w:val="0"/>
              <w:pBdr>
                <w:top w:val="nil"/>
                <w:left w:val="nil"/>
                <w:bottom w:val="nil"/>
                <w:right w:val="nil"/>
                <w:between w:val="nil"/>
              </w:pBdr>
              <w:spacing w:after="0" w:line="240" w:lineRule="auto"/>
              <w:jc w:val="both"/>
              <w:rPr>
                <w:rFonts w:asciiTheme="majorBidi" w:hAnsiTheme="majorBidi" w:cstheme="majorBidi"/>
                <w:sz w:val="20"/>
                <w:szCs w:val="20"/>
              </w:rPr>
            </w:pPr>
          </w:p>
        </w:tc>
        <w:tc>
          <w:tcPr>
            <w:tcW w:w="1672" w:type="dxa"/>
            <w:shd w:val="clear" w:color="auto" w:fill="auto"/>
          </w:tcPr>
          <w:p w14:paraId="3D3FA682" w14:textId="77777777" w:rsidR="00150938" w:rsidRPr="00150938" w:rsidRDefault="00150938" w:rsidP="00150938">
            <w:pPr>
              <w:widowControl w:val="0"/>
              <w:pBdr>
                <w:top w:val="nil"/>
                <w:left w:val="nil"/>
                <w:bottom w:val="nil"/>
                <w:right w:val="nil"/>
                <w:between w:val="nil"/>
              </w:pBdr>
              <w:spacing w:after="0" w:line="240" w:lineRule="auto"/>
              <w:jc w:val="both"/>
              <w:rPr>
                <w:rFonts w:asciiTheme="majorBidi" w:hAnsiTheme="majorBidi" w:cstheme="majorBidi"/>
                <w:sz w:val="20"/>
                <w:szCs w:val="20"/>
              </w:rPr>
            </w:pPr>
          </w:p>
        </w:tc>
      </w:tr>
    </w:tbl>
    <w:p w14:paraId="32DF1EBC" w14:textId="77777777" w:rsidR="00150938" w:rsidRPr="00150938" w:rsidRDefault="00150938" w:rsidP="00150938">
      <w:pPr>
        <w:widowControl w:val="0"/>
        <w:pBdr>
          <w:top w:val="nil"/>
          <w:left w:val="nil"/>
          <w:bottom w:val="nil"/>
          <w:right w:val="nil"/>
          <w:between w:val="nil"/>
        </w:pBdr>
        <w:spacing w:before="123" w:after="0" w:line="240" w:lineRule="auto"/>
        <w:jc w:val="both"/>
        <w:rPr>
          <w:rFonts w:asciiTheme="majorBidi" w:hAnsiTheme="majorBidi" w:cstheme="majorBidi"/>
          <w:color w:val="000000"/>
          <w:sz w:val="20"/>
          <w:szCs w:val="20"/>
        </w:rPr>
      </w:pPr>
      <w:r w:rsidRPr="00150938">
        <w:rPr>
          <w:rFonts w:asciiTheme="majorBidi" w:hAnsiTheme="majorBidi" w:cstheme="majorBidi"/>
          <w:color w:val="000000"/>
          <w:sz w:val="20"/>
          <w:szCs w:val="20"/>
        </w:rPr>
        <w:t>Source: Processed results of SPSS 24, 2021</w:t>
      </w:r>
    </w:p>
    <w:p w14:paraId="34AADD87" w14:textId="77777777" w:rsidR="00150938" w:rsidRPr="00150938" w:rsidRDefault="00150938" w:rsidP="00150938">
      <w:pPr>
        <w:widowControl w:val="0"/>
        <w:pBdr>
          <w:top w:val="nil"/>
          <w:left w:val="nil"/>
          <w:bottom w:val="nil"/>
          <w:right w:val="nil"/>
          <w:between w:val="nil"/>
        </w:pBdr>
        <w:spacing w:before="225" w:after="0" w:line="240" w:lineRule="auto"/>
        <w:ind w:right="57" w:firstLine="720"/>
        <w:jc w:val="both"/>
        <w:rPr>
          <w:rFonts w:asciiTheme="majorBidi" w:hAnsiTheme="majorBidi" w:cstheme="majorBidi"/>
          <w:color w:val="000000"/>
          <w:sz w:val="20"/>
          <w:szCs w:val="20"/>
        </w:rPr>
      </w:pPr>
      <w:r w:rsidRPr="00150938">
        <w:rPr>
          <w:rFonts w:asciiTheme="majorBidi" w:hAnsiTheme="majorBidi" w:cstheme="majorBidi"/>
          <w:color w:val="000000"/>
          <w:sz w:val="20"/>
          <w:szCs w:val="20"/>
        </w:rPr>
        <w:t>Table 4.2 displays the Return On Assets (ROA) of all banking companies listed on the Indonesia Stock Exchange from 2015 to 2019, with a total sample of 15 data points, a minimum of 0.22, a maximum of 2.21, an average of 0.9747, and a standard deviation of 0.73295.</w:t>
      </w:r>
    </w:p>
    <w:p w14:paraId="1A01459C" w14:textId="77777777" w:rsidR="00150938" w:rsidRPr="00150938" w:rsidRDefault="00150938" w:rsidP="00150938">
      <w:pPr>
        <w:pStyle w:val="Heading2"/>
        <w:spacing w:after="0"/>
        <w:jc w:val="both"/>
        <w:rPr>
          <w:rFonts w:asciiTheme="majorBidi" w:hAnsiTheme="majorBidi" w:cstheme="majorBidi"/>
          <w:i w:val="0"/>
          <w:iCs w:val="0"/>
          <w:sz w:val="20"/>
          <w:szCs w:val="20"/>
        </w:rPr>
      </w:pPr>
      <w:r w:rsidRPr="00150938">
        <w:rPr>
          <w:rFonts w:asciiTheme="majorBidi" w:hAnsiTheme="majorBidi" w:cstheme="majorBidi"/>
          <w:i w:val="0"/>
          <w:iCs w:val="0"/>
          <w:sz w:val="20"/>
          <w:szCs w:val="20"/>
        </w:rPr>
        <w:t>Normality test</w:t>
      </w:r>
    </w:p>
    <w:p w14:paraId="3DD822AD" w14:textId="77777777" w:rsidR="00150938" w:rsidRPr="00150938" w:rsidRDefault="00150938" w:rsidP="00150938">
      <w:pPr>
        <w:spacing w:after="0" w:line="240" w:lineRule="auto"/>
        <w:ind w:firstLine="720"/>
        <w:jc w:val="both"/>
        <w:rPr>
          <w:rFonts w:asciiTheme="majorBidi" w:hAnsiTheme="majorBidi" w:cstheme="majorBidi"/>
          <w:sz w:val="20"/>
          <w:szCs w:val="20"/>
        </w:rPr>
      </w:pPr>
      <w:r w:rsidRPr="00150938">
        <w:rPr>
          <w:rFonts w:asciiTheme="majorBidi" w:hAnsiTheme="majorBidi" w:cstheme="majorBidi"/>
          <w:sz w:val="20"/>
          <w:szCs w:val="20"/>
        </w:rPr>
        <w:t>The data normality test determines whether or not the confounding or residual variables in a regression model have a normal distribution. The Kolmogorov-Smirnov value is 0.109 and is significant at 0.200 based on the results in table 4.5. If the significant or probability is less than 0.05, the data distribution is not normal; otherwise, the data distribution is normal. The statistical analysis revealed a significance value greater than 0.05 (0.200 &gt; 0.05), indicating that the data is normally distributed.</w:t>
      </w:r>
    </w:p>
    <w:p w14:paraId="27B718BF" w14:textId="77777777" w:rsidR="00150938" w:rsidRPr="00150938" w:rsidRDefault="00150938" w:rsidP="00150938">
      <w:pPr>
        <w:spacing w:after="0" w:line="240" w:lineRule="auto"/>
        <w:jc w:val="both"/>
        <w:rPr>
          <w:rFonts w:asciiTheme="majorBidi" w:hAnsiTheme="majorBidi" w:cstheme="majorBidi"/>
          <w:sz w:val="20"/>
          <w:szCs w:val="20"/>
        </w:rPr>
      </w:pPr>
    </w:p>
    <w:p w14:paraId="363D1F52" w14:textId="77777777" w:rsidR="00150938" w:rsidRPr="00150938" w:rsidRDefault="00150938" w:rsidP="00150938">
      <w:pPr>
        <w:spacing w:after="0" w:line="240" w:lineRule="auto"/>
        <w:jc w:val="both"/>
        <w:rPr>
          <w:rFonts w:asciiTheme="majorBidi" w:hAnsiTheme="majorBidi" w:cstheme="majorBidi"/>
          <w:b/>
          <w:sz w:val="20"/>
          <w:szCs w:val="20"/>
        </w:rPr>
      </w:pPr>
      <w:r w:rsidRPr="00150938">
        <w:rPr>
          <w:rFonts w:asciiTheme="majorBidi" w:hAnsiTheme="majorBidi" w:cstheme="majorBidi"/>
          <w:b/>
          <w:sz w:val="20"/>
          <w:szCs w:val="20"/>
        </w:rPr>
        <w:t>Hypothesis testing</w:t>
      </w:r>
    </w:p>
    <w:p w14:paraId="61E74EA6" w14:textId="77777777" w:rsidR="00150938" w:rsidRPr="00150938" w:rsidRDefault="00150938" w:rsidP="00150938">
      <w:pPr>
        <w:spacing w:after="0" w:line="240" w:lineRule="auto"/>
        <w:jc w:val="both"/>
        <w:rPr>
          <w:rFonts w:asciiTheme="majorBidi" w:hAnsiTheme="majorBidi" w:cstheme="majorBidi"/>
          <w:b/>
          <w:sz w:val="20"/>
          <w:szCs w:val="20"/>
        </w:rPr>
      </w:pPr>
      <w:r w:rsidRPr="00150938">
        <w:rPr>
          <w:rFonts w:asciiTheme="majorBidi" w:hAnsiTheme="majorBidi" w:cstheme="majorBidi"/>
          <w:b/>
          <w:sz w:val="20"/>
          <w:szCs w:val="20"/>
        </w:rPr>
        <w:t>Pearson Product Moment Correlation Analysis</w:t>
      </w:r>
    </w:p>
    <w:p w14:paraId="01C1298C" w14:textId="77777777" w:rsidR="00150938" w:rsidRPr="00150938" w:rsidRDefault="00150938" w:rsidP="00150938">
      <w:pPr>
        <w:pStyle w:val="Heading1"/>
        <w:spacing w:before="209" w:line="240" w:lineRule="auto"/>
        <w:ind w:right="-42" w:firstLine="720"/>
        <w:jc w:val="both"/>
        <w:rPr>
          <w:rFonts w:asciiTheme="majorBidi" w:hAnsiTheme="majorBidi" w:cstheme="majorBidi"/>
          <w:b w:val="0"/>
          <w:smallCaps/>
        </w:rPr>
      </w:pPr>
      <w:r w:rsidRPr="00150938">
        <w:rPr>
          <w:rFonts w:asciiTheme="majorBidi" w:hAnsiTheme="majorBidi" w:cstheme="majorBidi"/>
          <w:b w:val="0"/>
        </w:rPr>
        <w:t>Person product moment correlation analysis includes bivariant analysis, which seeks a statistical solution to the strengths and weaknesses of the relationship between the independent variable (Loan to Deposit Ratio) and the dependent variable (Return On Assets), as well as Pearson product moment correlation analysis, because the data in this study is in ratio form.</w:t>
      </w:r>
    </w:p>
    <w:p w14:paraId="6A63A145" w14:textId="77777777" w:rsidR="00150938" w:rsidRPr="00150938" w:rsidRDefault="00150938" w:rsidP="00150938">
      <w:pPr>
        <w:pStyle w:val="Heading1"/>
        <w:spacing w:before="209" w:line="240" w:lineRule="auto"/>
        <w:ind w:right="99"/>
        <w:rPr>
          <w:rFonts w:asciiTheme="majorBidi" w:hAnsiTheme="majorBidi" w:cstheme="majorBidi"/>
          <w:lang w:val="en-US"/>
        </w:rPr>
      </w:pPr>
      <w:r w:rsidRPr="00150938">
        <w:rPr>
          <w:rFonts w:asciiTheme="majorBidi" w:hAnsiTheme="majorBidi" w:cstheme="majorBidi"/>
        </w:rPr>
        <w:t>Table 4.</w:t>
      </w:r>
      <w:r w:rsidRPr="00150938">
        <w:rPr>
          <w:rFonts w:asciiTheme="majorBidi" w:hAnsiTheme="majorBidi" w:cstheme="majorBidi"/>
          <w:lang w:val="en-US"/>
        </w:rPr>
        <w:t>3</w:t>
      </w:r>
    </w:p>
    <w:p w14:paraId="0B2EC3DE" w14:textId="77777777" w:rsidR="00150938" w:rsidRPr="00150938" w:rsidRDefault="00150938" w:rsidP="00150938">
      <w:pPr>
        <w:spacing w:after="0" w:line="240" w:lineRule="auto"/>
        <w:ind w:right="99"/>
        <w:jc w:val="center"/>
        <w:rPr>
          <w:rFonts w:asciiTheme="majorBidi" w:hAnsiTheme="majorBidi" w:cstheme="majorBidi"/>
          <w:b/>
          <w:sz w:val="20"/>
          <w:szCs w:val="20"/>
        </w:rPr>
      </w:pPr>
      <w:r w:rsidRPr="00150938">
        <w:rPr>
          <w:rFonts w:asciiTheme="majorBidi" w:hAnsiTheme="majorBidi" w:cstheme="majorBidi"/>
          <w:b/>
          <w:sz w:val="20"/>
          <w:szCs w:val="20"/>
        </w:rPr>
        <w:t>Pearson Product Moment Correlation Analysis Results</w:t>
      </w:r>
    </w:p>
    <w:p w14:paraId="1C1CC011" w14:textId="77777777" w:rsidR="00150938" w:rsidRPr="00150938" w:rsidRDefault="00150938" w:rsidP="00150938">
      <w:pPr>
        <w:widowControl w:val="0"/>
        <w:pBdr>
          <w:top w:val="nil"/>
          <w:left w:val="nil"/>
          <w:bottom w:val="nil"/>
          <w:right w:val="nil"/>
          <w:between w:val="nil"/>
        </w:pBdr>
        <w:spacing w:after="0" w:line="240" w:lineRule="auto"/>
        <w:rPr>
          <w:rFonts w:asciiTheme="majorBidi" w:hAnsiTheme="majorBidi" w:cstheme="majorBidi"/>
          <w:sz w:val="20"/>
          <w:szCs w:val="20"/>
        </w:rPr>
      </w:pPr>
    </w:p>
    <w:tbl>
      <w:tblPr>
        <w:tblW w:w="4797" w:type="dxa"/>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000"/>
        <w:gridCol w:w="1030"/>
        <w:gridCol w:w="1030"/>
      </w:tblGrid>
      <w:tr w:rsidR="00150938" w:rsidRPr="00150938" w14:paraId="1B98AD70" w14:textId="77777777" w:rsidTr="0066465F">
        <w:trPr>
          <w:trHeight w:val="318"/>
        </w:trPr>
        <w:tc>
          <w:tcPr>
            <w:tcW w:w="737" w:type="dxa"/>
            <w:vMerge w:val="restart"/>
            <w:shd w:val="clear" w:color="auto" w:fill="auto"/>
          </w:tcPr>
          <w:p w14:paraId="16010A4B" w14:textId="77777777" w:rsidR="00150938" w:rsidRPr="00150938" w:rsidRDefault="00150938" w:rsidP="00150938">
            <w:pPr>
              <w:widowControl w:val="0"/>
              <w:pBdr>
                <w:top w:val="nil"/>
                <w:left w:val="nil"/>
                <w:bottom w:val="nil"/>
                <w:right w:val="nil"/>
                <w:between w:val="nil"/>
              </w:pBdr>
              <w:spacing w:after="0" w:line="240" w:lineRule="auto"/>
              <w:ind w:left="60"/>
              <w:jc w:val="both"/>
              <w:rPr>
                <w:rFonts w:asciiTheme="majorBidi" w:hAnsiTheme="majorBidi" w:cstheme="majorBidi"/>
                <w:sz w:val="20"/>
                <w:szCs w:val="20"/>
              </w:rPr>
            </w:pPr>
            <w:r w:rsidRPr="00150938">
              <w:rPr>
                <w:rFonts w:asciiTheme="majorBidi" w:hAnsiTheme="majorBidi" w:cstheme="majorBidi"/>
                <w:sz w:val="20"/>
                <w:szCs w:val="20"/>
              </w:rPr>
              <w:t>LDR</w:t>
            </w:r>
          </w:p>
        </w:tc>
        <w:tc>
          <w:tcPr>
            <w:tcW w:w="2000" w:type="dxa"/>
            <w:shd w:val="clear" w:color="auto" w:fill="auto"/>
          </w:tcPr>
          <w:p w14:paraId="40F4A8FA" w14:textId="77777777" w:rsidR="00150938" w:rsidRPr="00150938" w:rsidRDefault="00150938" w:rsidP="00150938">
            <w:pPr>
              <w:widowControl w:val="0"/>
              <w:pBdr>
                <w:top w:val="nil"/>
                <w:left w:val="nil"/>
                <w:bottom w:val="nil"/>
                <w:right w:val="nil"/>
                <w:between w:val="nil"/>
              </w:pBdr>
              <w:spacing w:after="0" w:line="240" w:lineRule="auto"/>
              <w:ind w:left="59"/>
              <w:jc w:val="both"/>
              <w:rPr>
                <w:rFonts w:asciiTheme="majorBidi" w:hAnsiTheme="majorBidi" w:cstheme="majorBidi"/>
                <w:sz w:val="20"/>
                <w:szCs w:val="20"/>
              </w:rPr>
            </w:pPr>
            <w:r w:rsidRPr="00150938">
              <w:rPr>
                <w:rFonts w:asciiTheme="majorBidi" w:hAnsiTheme="majorBidi" w:cstheme="majorBidi"/>
                <w:sz w:val="20"/>
                <w:szCs w:val="20"/>
              </w:rPr>
              <w:t>Pearson Correlation</w:t>
            </w:r>
          </w:p>
        </w:tc>
        <w:tc>
          <w:tcPr>
            <w:tcW w:w="1030" w:type="dxa"/>
            <w:shd w:val="clear" w:color="auto" w:fill="auto"/>
          </w:tcPr>
          <w:p w14:paraId="05034E79" w14:textId="77777777" w:rsidR="00150938" w:rsidRPr="00150938" w:rsidRDefault="00150938" w:rsidP="00150938">
            <w:pPr>
              <w:widowControl w:val="0"/>
              <w:pBdr>
                <w:top w:val="nil"/>
                <w:left w:val="nil"/>
                <w:bottom w:val="nil"/>
                <w:right w:val="nil"/>
                <w:between w:val="nil"/>
              </w:pBdr>
              <w:spacing w:after="0" w:line="240" w:lineRule="auto"/>
              <w:ind w:right="59"/>
              <w:jc w:val="both"/>
              <w:rPr>
                <w:rFonts w:asciiTheme="majorBidi" w:hAnsiTheme="majorBidi" w:cstheme="majorBidi"/>
                <w:sz w:val="20"/>
                <w:szCs w:val="20"/>
              </w:rPr>
            </w:pPr>
            <w:r w:rsidRPr="00150938">
              <w:rPr>
                <w:rFonts w:asciiTheme="majorBidi" w:hAnsiTheme="majorBidi" w:cstheme="majorBidi"/>
                <w:sz w:val="20"/>
                <w:szCs w:val="20"/>
              </w:rPr>
              <w:t>1</w:t>
            </w:r>
          </w:p>
        </w:tc>
        <w:tc>
          <w:tcPr>
            <w:tcW w:w="1030" w:type="dxa"/>
            <w:shd w:val="clear" w:color="auto" w:fill="auto"/>
          </w:tcPr>
          <w:p w14:paraId="6AE62EA7" w14:textId="77777777" w:rsidR="00150938" w:rsidRPr="00150938" w:rsidRDefault="00150938" w:rsidP="00150938">
            <w:pPr>
              <w:widowControl w:val="0"/>
              <w:pBdr>
                <w:top w:val="nil"/>
                <w:left w:val="nil"/>
                <w:bottom w:val="nil"/>
                <w:right w:val="nil"/>
                <w:between w:val="nil"/>
              </w:pBdr>
              <w:spacing w:after="0" w:line="240" w:lineRule="auto"/>
              <w:ind w:right="58"/>
              <w:jc w:val="both"/>
              <w:rPr>
                <w:rFonts w:asciiTheme="majorBidi" w:hAnsiTheme="majorBidi" w:cstheme="majorBidi"/>
                <w:sz w:val="20"/>
                <w:szCs w:val="20"/>
              </w:rPr>
            </w:pPr>
            <w:r w:rsidRPr="00150938">
              <w:rPr>
                <w:rFonts w:asciiTheme="majorBidi" w:hAnsiTheme="majorBidi" w:cstheme="majorBidi"/>
                <w:sz w:val="20"/>
                <w:szCs w:val="20"/>
              </w:rPr>
              <w:t>,748</w:t>
            </w:r>
            <w:r w:rsidRPr="00150938">
              <w:rPr>
                <w:rFonts w:asciiTheme="majorBidi" w:hAnsiTheme="majorBidi" w:cstheme="majorBidi"/>
                <w:sz w:val="20"/>
                <w:szCs w:val="20"/>
                <w:vertAlign w:val="superscript"/>
              </w:rPr>
              <w:t>**</w:t>
            </w:r>
          </w:p>
        </w:tc>
      </w:tr>
      <w:tr w:rsidR="00150938" w:rsidRPr="00150938" w14:paraId="575F9418" w14:textId="77777777" w:rsidTr="0066465F">
        <w:trPr>
          <w:trHeight w:val="320"/>
        </w:trPr>
        <w:tc>
          <w:tcPr>
            <w:tcW w:w="737" w:type="dxa"/>
            <w:vMerge/>
            <w:shd w:val="clear" w:color="auto" w:fill="auto"/>
          </w:tcPr>
          <w:p w14:paraId="4B426366" w14:textId="77777777" w:rsidR="00150938" w:rsidRPr="00150938" w:rsidRDefault="00150938" w:rsidP="00150938">
            <w:pPr>
              <w:widowControl w:val="0"/>
              <w:pBdr>
                <w:top w:val="nil"/>
                <w:left w:val="nil"/>
                <w:bottom w:val="nil"/>
                <w:right w:val="nil"/>
                <w:between w:val="nil"/>
              </w:pBdr>
              <w:spacing w:after="0" w:line="240" w:lineRule="auto"/>
              <w:rPr>
                <w:rFonts w:asciiTheme="majorBidi" w:hAnsiTheme="majorBidi" w:cstheme="majorBidi"/>
                <w:sz w:val="20"/>
                <w:szCs w:val="20"/>
              </w:rPr>
            </w:pPr>
          </w:p>
        </w:tc>
        <w:tc>
          <w:tcPr>
            <w:tcW w:w="2000" w:type="dxa"/>
            <w:shd w:val="clear" w:color="auto" w:fill="auto"/>
          </w:tcPr>
          <w:p w14:paraId="4CEC255B" w14:textId="77777777" w:rsidR="00150938" w:rsidRPr="00150938" w:rsidRDefault="00150938" w:rsidP="00150938">
            <w:pPr>
              <w:widowControl w:val="0"/>
              <w:pBdr>
                <w:top w:val="nil"/>
                <w:left w:val="nil"/>
                <w:bottom w:val="nil"/>
                <w:right w:val="nil"/>
                <w:between w:val="nil"/>
              </w:pBdr>
              <w:spacing w:after="0" w:line="240" w:lineRule="auto"/>
              <w:ind w:left="59"/>
              <w:jc w:val="both"/>
              <w:rPr>
                <w:rFonts w:asciiTheme="majorBidi" w:hAnsiTheme="majorBidi" w:cstheme="majorBidi"/>
                <w:sz w:val="20"/>
                <w:szCs w:val="20"/>
              </w:rPr>
            </w:pPr>
            <w:r w:rsidRPr="00150938">
              <w:rPr>
                <w:rFonts w:asciiTheme="majorBidi" w:hAnsiTheme="majorBidi" w:cstheme="majorBidi"/>
                <w:sz w:val="20"/>
                <w:szCs w:val="20"/>
              </w:rPr>
              <w:t>Sig. (2-tailed)</w:t>
            </w:r>
          </w:p>
        </w:tc>
        <w:tc>
          <w:tcPr>
            <w:tcW w:w="1030" w:type="dxa"/>
            <w:shd w:val="clear" w:color="auto" w:fill="auto"/>
          </w:tcPr>
          <w:p w14:paraId="1A620414" w14:textId="77777777" w:rsidR="00150938" w:rsidRPr="00150938" w:rsidRDefault="00150938" w:rsidP="00150938">
            <w:pPr>
              <w:widowControl w:val="0"/>
              <w:pBdr>
                <w:top w:val="nil"/>
                <w:left w:val="nil"/>
                <w:bottom w:val="nil"/>
                <w:right w:val="nil"/>
                <w:between w:val="nil"/>
              </w:pBdr>
              <w:spacing w:after="0" w:line="240" w:lineRule="auto"/>
              <w:jc w:val="both"/>
              <w:rPr>
                <w:rFonts w:asciiTheme="majorBidi" w:hAnsiTheme="majorBidi" w:cstheme="majorBidi"/>
                <w:sz w:val="20"/>
                <w:szCs w:val="20"/>
              </w:rPr>
            </w:pPr>
          </w:p>
        </w:tc>
        <w:tc>
          <w:tcPr>
            <w:tcW w:w="1030" w:type="dxa"/>
            <w:shd w:val="clear" w:color="auto" w:fill="auto"/>
          </w:tcPr>
          <w:p w14:paraId="3D433BF2" w14:textId="77777777" w:rsidR="00150938" w:rsidRPr="00150938" w:rsidRDefault="00150938" w:rsidP="00150938">
            <w:pPr>
              <w:widowControl w:val="0"/>
              <w:pBdr>
                <w:top w:val="nil"/>
                <w:left w:val="nil"/>
                <w:bottom w:val="nil"/>
                <w:right w:val="nil"/>
                <w:between w:val="nil"/>
              </w:pBdr>
              <w:spacing w:after="0" w:line="240" w:lineRule="auto"/>
              <w:ind w:right="55"/>
              <w:jc w:val="both"/>
              <w:rPr>
                <w:rFonts w:asciiTheme="majorBidi" w:hAnsiTheme="majorBidi" w:cstheme="majorBidi"/>
                <w:sz w:val="20"/>
                <w:szCs w:val="20"/>
              </w:rPr>
            </w:pPr>
            <w:r w:rsidRPr="00150938">
              <w:rPr>
                <w:rFonts w:asciiTheme="majorBidi" w:hAnsiTheme="majorBidi" w:cstheme="majorBidi"/>
                <w:sz w:val="20"/>
                <w:szCs w:val="20"/>
              </w:rPr>
              <w:t>,001</w:t>
            </w:r>
          </w:p>
        </w:tc>
      </w:tr>
      <w:tr w:rsidR="00150938" w:rsidRPr="00150938" w14:paraId="4F885C41" w14:textId="77777777" w:rsidTr="0066465F">
        <w:trPr>
          <w:trHeight w:val="321"/>
        </w:trPr>
        <w:tc>
          <w:tcPr>
            <w:tcW w:w="737" w:type="dxa"/>
            <w:vMerge/>
            <w:shd w:val="clear" w:color="auto" w:fill="auto"/>
          </w:tcPr>
          <w:p w14:paraId="08C14D1D" w14:textId="77777777" w:rsidR="00150938" w:rsidRPr="00150938" w:rsidRDefault="00150938" w:rsidP="00150938">
            <w:pPr>
              <w:widowControl w:val="0"/>
              <w:pBdr>
                <w:top w:val="nil"/>
                <w:left w:val="nil"/>
                <w:bottom w:val="nil"/>
                <w:right w:val="nil"/>
                <w:between w:val="nil"/>
              </w:pBdr>
              <w:spacing w:after="0" w:line="240" w:lineRule="auto"/>
              <w:rPr>
                <w:rFonts w:asciiTheme="majorBidi" w:hAnsiTheme="majorBidi" w:cstheme="majorBidi"/>
                <w:sz w:val="20"/>
                <w:szCs w:val="20"/>
              </w:rPr>
            </w:pPr>
          </w:p>
        </w:tc>
        <w:tc>
          <w:tcPr>
            <w:tcW w:w="2000" w:type="dxa"/>
            <w:shd w:val="clear" w:color="auto" w:fill="auto"/>
          </w:tcPr>
          <w:p w14:paraId="7AB816B1" w14:textId="77777777" w:rsidR="00150938" w:rsidRPr="00150938" w:rsidRDefault="00150938" w:rsidP="00150938">
            <w:pPr>
              <w:widowControl w:val="0"/>
              <w:pBdr>
                <w:top w:val="nil"/>
                <w:left w:val="nil"/>
                <w:bottom w:val="nil"/>
                <w:right w:val="nil"/>
                <w:between w:val="nil"/>
              </w:pBdr>
              <w:spacing w:after="0" w:line="240" w:lineRule="auto"/>
              <w:ind w:left="59"/>
              <w:jc w:val="both"/>
              <w:rPr>
                <w:rFonts w:asciiTheme="majorBidi" w:hAnsiTheme="majorBidi" w:cstheme="majorBidi"/>
                <w:sz w:val="20"/>
                <w:szCs w:val="20"/>
              </w:rPr>
            </w:pPr>
            <w:r w:rsidRPr="00150938">
              <w:rPr>
                <w:rFonts w:asciiTheme="majorBidi" w:hAnsiTheme="majorBidi" w:cstheme="majorBidi"/>
                <w:sz w:val="20"/>
                <w:szCs w:val="20"/>
              </w:rPr>
              <w:t>N</w:t>
            </w:r>
          </w:p>
        </w:tc>
        <w:tc>
          <w:tcPr>
            <w:tcW w:w="1030" w:type="dxa"/>
            <w:shd w:val="clear" w:color="auto" w:fill="auto"/>
          </w:tcPr>
          <w:p w14:paraId="034B773F" w14:textId="77777777" w:rsidR="00150938" w:rsidRPr="00150938" w:rsidRDefault="00150938" w:rsidP="00150938">
            <w:pPr>
              <w:widowControl w:val="0"/>
              <w:pBdr>
                <w:top w:val="nil"/>
                <w:left w:val="nil"/>
                <w:bottom w:val="nil"/>
                <w:right w:val="nil"/>
                <w:between w:val="nil"/>
              </w:pBdr>
              <w:spacing w:after="0" w:line="240" w:lineRule="auto"/>
              <w:ind w:right="56"/>
              <w:jc w:val="both"/>
              <w:rPr>
                <w:rFonts w:asciiTheme="majorBidi" w:hAnsiTheme="majorBidi" w:cstheme="majorBidi"/>
                <w:sz w:val="20"/>
                <w:szCs w:val="20"/>
              </w:rPr>
            </w:pPr>
            <w:r w:rsidRPr="00150938">
              <w:rPr>
                <w:rFonts w:asciiTheme="majorBidi" w:hAnsiTheme="majorBidi" w:cstheme="majorBidi"/>
                <w:sz w:val="20"/>
                <w:szCs w:val="20"/>
              </w:rPr>
              <w:t>15</w:t>
            </w:r>
          </w:p>
        </w:tc>
        <w:tc>
          <w:tcPr>
            <w:tcW w:w="1030" w:type="dxa"/>
            <w:shd w:val="clear" w:color="auto" w:fill="auto"/>
          </w:tcPr>
          <w:p w14:paraId="012A5194" w14:textId="77777777" w:rsidR="00150938" w:rsidRPr="00150938" w:rsidRDefault="00150938" w:rsidP="00150938">
            <w:pPr>
              <w:widowControl w:val="0"/>
              <w:pBdr>
                <w:top w:val="nil"/>
                <w:left w:val="nil"/>
                <w:bottom w:val="nil"/>
                <w:right w:val="nil"/>
                <w:between w:val="nil"/>
              </w:pBdr>
              <w:spacing w:after="0" w:line="240" w:lineRule="auto"/>
              <w:ind w:right="54"/>
              <w:jc w:val="both"/>
              <w:rPr>
                <w:rFonts w:asciiTheme="majorBidi" w:hAnsiTheme="majorBidi" w:cstheme="majorBidi"/>
                <w:sz w:val="20"/>
                <w:szCs w:val="20"/>
              </w:rPr>
            </w:pPr>
            <w:r w:rsidRPr="00150938">
              <w:rPr>
                <w:rFonts w:asciiTheme="majorBidi" w:hAnsiTheme="majorBidi" w:cstheme="majorBidi"/>
                <w:sz w:val="20"/>
                <w:szCs w:val="20"/>
              </w:rPr>
              <w:t>15</w:t>
            </w:r>
          </w:p>
        </w:tc>
      </w:tr>
      <w:tr w:rsidR="00150938" w:rsidRPr="00150938" w14:paraId="7816C6AA" w14:textId="77777777" w:rsidTr="0066465F">
        <w:trPr>
          <w:trHeight w:val="318"/>
        </w:trPr>
        <w:tc>
          <w:tcPr>
            <w:tcW w:w="737" w:type="dxa"/>
            <w:vMerge w:val="restart"/>
            <w:shd w:val="clear" w:color="auto" w:fill="auto"/>
          </w:tcPr>
          <w:p w14:paraId="3D481102" w14:textId="77777777" w:rsidR="00150938" w:rsidRPr="00150938" w:rsidRDefault="00150938" w:rsidP="00150938">
            <w:pPr>
              <w:widowControl w:val="0"/>
              <w:pBdr>
                <w:top w:val="nil"/>
                <w:left w:val="nil"/>
                <w:bottom w:val="nil"/>
                <w:right w:val="nil"/>
                <w:between w:val="nil"/>
              </w:pBdr>
              <w:spacing w:after="0" w:line="240" w:lineRule="auto"/>
              <w:ind w:left="60"/>
              <w:jc w:val="both"/>
              <w:rPr>
                <w:rFonts w:asciiTheme="majorBidi" w:hAnsiTheme="majorBidi" w:cstheme="majorBidi"/>
                <w:sz w:val="20"/>
                <w:szCs w:val="20"/>
              </w:rPr>
            </w:pPr>
            <w:r w:rsidRPr="00150938">
              <w:rPr>
                <w:rFonts w:asciiTheme="majorBidi" w:hAnsiTheme="majorBidi" w:cstheme="majorBidi"/>
                <w:sz w:val="20"/>
                <w:szCs w:val="20"/>
              </w:rPr>
              <w:t>ROA</w:t>
            </w:r>
          </w:p>
        </w:tc>
        <w:tc>
          <w:tcPr>
            <w:tcW w:w="2000" w:type="dxa"/>
            <w:shd w:val="clear" w:color="auto" w:fill="auto"/>
          </w:tcPr>
          <w:p w14:paraId="10C159F0" w14:textId="77777777" w:rsidR="00150938" w:rsidRPr="00150938" w:rsidRDefault="00150938" w:rsidP="00150938">
            <w:pPr>
              <w:widowControl w:val="0"/>
              <w:pBdr>
                <w:top w:val="nil"/>
                <w:left w:val="nil"/>
                <w:bottom w:val="nil"/>
                <w:right w:val="nil"/>
                <w:between w:val="nil"/>
              </w:pBdr>
              <w:spacing w:after="0" w:line="240" w:lineRule="auto"/>
              <w:ind w:left="59"/>
              <w:jc w:val="both"/>
              <w:rPr>
                <w:rFonts w:asciiTheme="majorBidi" w:hAnsiTheme="majorBidi" w:cstheme="majorBidi"/>
                <w:sz w:val="20"/>
                <w:szCs w:val="20"/>
              </w:rPr>
            </w:pPr>
            <w:r w:rsidRPr="00150938">
              <w:rPr>
                <w:rFonts w:asciiTheme="majorBidi" w:hAnsiTheme="majorBidi" w:cstheme="majorBidi"/>
                <w:sz w:val="20"/>
                <w:szCs w:val="20"/>
              </w:rPr>
              <w:t>Pearson Correlation</w:t>
            </w:r>
          </w:p>
        </w:tc>
        <w:tc>
          <w:tcPr>
            <w:tcW w:w="1030" w:type="dxa"/>
            <w:shd w:val="clear" w:color="auto" w:fill="auto"/>
          </w:tcPr>
          <w:p w14:paraId="64A4085A" w14:textId="77777777" w:rsidR="00150938" w:rsidRPr="00150938" w:rsidRDefault="00150938" w:rsidP="00150938">
            <w:pPr>
              <w:widowControl w:val="0"/>
              <w:pBdr>
                <w:top w:val="nil"/>
                <w:left w:val="nil"/>
                <w:bottom w:val="nil"/>
                <w:right w:val="nil"/>
                <w:between w:val="nil"/>
              </w:pBdr>
              <w:spacing w:after="0" w:line="240" w:lineRule="auto"/>
              <w:ind w:right="58"/>
              <w:jc w:val="both"/>
              <w:rPr>
                <w:rFonts w:asciiTheme="majorBidi" w:hAnsiTheme="majorBidi" w:cstheme="majorBidi"/>
                <w:sz w:val="20"/>
                <w:szCs w:val="20"/>
              </w:rPr>
            </w:pPr>
            <w:r w:rsidRPr="00150938">
              <w:rPr>
                <w:rFonts w:asciiTheme="majorBidi" w:hAnsiTheme="majorBidi" w:cstheme="majorBidi"/>
                <w:sz w:val="20"/>
                <w:szCs w:val="20"/>
              </w:rPr>
              <w:t>,748</w:t>
            </w:r>
            <w:r w:rsidRPr="00150938">
              <w:rPr>
                <w:rFonts w:asciiTheme="majorBidi" w:hAnsiTheme="majorBidi" w:cstheme="majorBidi"/>
                <w:sz w:val="20"/>
                <w:szCs w:val="20"/>
                <w:vertAlign w:val="superscript"/>
              </w:rPr>
              <w:t>**</w:t>
            </w:r>
          </w:p>
        </w:tc>
        <w:tc>
          <w:tcPr>
            <w:tcW w:w="1030" w:type="dxa"/>
            <w:shd w:val="clear" w:color="auto" w:fill="auto"/>
          </w:tcPr>
          <w:p w14:paraId="03E15F6F" w14:textId="77777777" w:rsidR="00150938" w:rsidRPr="00150938" w:rsidRDefault="00150938" w:rsidP="00150938">
            <w:pPr>
              <w:widowControl w:val="0"/>
              <w:pBdr>
                <w:top w:val="nil"/>
                <w:left w:val="nil"/>
                <w:bottom w:val="nil"/>
                <w:right w:val="nil"/>
                <w:between w:val="nil"/>
              </w:pBdr>
              <w:spacing w:after="0" w:line="240" w:lineRule="auto"/>
              <w:ind w:right="57"/>
              <w:jc w:val="both"/>
              <w:rPr>
                <w:rFonts w:asciiTheme="majorBidi" w:hAnsiTheme="majorBidi" w:cstheme="majorBidi"/>
                <w:sz w:val="20"/>
                <w:szCs w:val="20"/>
              </w:rPr>
            </w:pPr>
            <w:r w:rsidRPr="00150938">
              <w:rPr>
                <w:rFonts w:asciiTheme="majorBidi" w:hAnsiTheme="majorBidi" w:cstheme="majorBidi"/>
                <w:sz w:val="20"/>
                <w:szCs w:val="20"/>
              </w:rPr>
              <w:t>1</w:t>
            </w:r>
          </w:p>
        </w:tc>
      </w:tr>
      <w:tr w:rsidR="00150938" w:rsidRPr="00150938" w14:paraId="496402E5" w14:textId="77777777" w:rsidTr="0066465F">
        <w:trPr>
          <w:trHeight w:val="320"/>
        </w:trPr>
        <w:tc>
          <w:tcPr>
            <w:tcW w:w="737" w:type="dxa"/>
            <w:vMerge/>
            <w:shd w:val="clear" w:color="auto" w:fill="auto"/>
          </w:tcPr>
          <w:p w14:paraId="1CD06172" w14:textId="77777777" w:rsidR="00150938" w:rsidRPr="00150938" w:rsidRDefault="00150938" w:rsidP="00150938">
            <w:pPr>
              <w:widowControl w:val="0"/>
              <w:pBdr>
                <w:top w:val="nil"/>
                <w:left w:val="nil"/>
                <w:bottom w:val="nil"/>
                <w:right w:val="nil"/>
                <w:between w:val="nil"/>
              </w:pBdr>
              <w:spacing w:after="0" w:line="240" w:lineRule="auto"/>
              <w:rPr>
                <w:rFonts w:asciiTheme="majorBidi" w:hAnsiTheme="majorBidi" w:cstheme="majorBidi"/>
                <w:sz w:val="20"/>
                <w:szCs w:val="20"/>
              </w:rPr>
            </w:pPr>
          </w:p>
        </w:tc>
        <w:tc>
          <w:tcPr>
            <w:tcW w:w="2000" w:type="dxa"/>
            <w:shd w:val="clear" w:color="auto" w:fill="auto"/>
          </w:tcPr>
          <w:p w14:paraId="0137054B" w14:textId="77777777" w:rsidR="00150938" w:rsidRPr="00150938" w:rsidRDefault="00150938" w:rsidP="00150938">
            <w:pPr>
              <w:widowControl w:val="0"/>
              <w:pBdr>
                <w:top w:val="nil"/>
                <w:left w:val="nil"/>
                <w:bottom w:val="nil"/>
                <w:right w:val="nil"/>
                <w:between w:val="nil"/>
              </w:pBdr>
              <w:spacing w:after="0" w:line="240" w:lineRule="auto"/>
              <w:ind w:left="59"/>
              <w:jc w:val="both"/>
              <w:rPr>
                <w:rFonts w:asciiTheme="majorBidi" w:hAnsiTheme="majorBidi" w:cstheme="majorBidi"/>
                <w:sz w:val="20"/>
                <w:szCs w:val="20"/>
              </w:rPr>
            </w:pPr>
            <w:r w:rsidRPr="00150938">
              <w:rPr>
                <w:rFonts w:asciiTheme="majorBidi" w:hAnsiTheme="majorBidi" w:cstheme="majorBidi"/>
                <w:sz w:val="20"/>
                <w:szCs w:val="20"/>
              </w:rPr>
              <w:t>Sig. (2-tailed)</w:t>
            </w:r>
          </w:p>
        </w:tc>
        <w:tc>
          <w:tcPr>
            <w:tcW w:w="1030" w:type="dxa"/>
            <w:shd w:val="clear" w:color="auto" w:fill="auto"/>
          </w:tcPr>
          <w:p w14:paraId="36D2CE89" w14:textId="77777777" w:rsidR="00150938" w:rsidRPr="00150938" w:rsidRDefault="00150938" w:rsidP="00150938">
            <w:pPr>
              <w:widowControl w:val="0"/>
              <w:pBdr>
                <w:top w:val="nil"/>
                <w:left w:val="nil"/>
                <w:bottom w:val="nil"/>
                <w:right w:val="nil"/>
                <w:between w:val="nil"/>
              </w:pBdr>
              <w:spacing w:after="0" w:line="240" w:lineRule="auto"/>
              <w:ind w:right="57"/>
              <w:jc w:val="both"/>
              <w:rPr>
                <w:rFonts w:asciiTheme="majorBidi" w:hAnsiTheme="majorBidi" w:cstheme="majorBidi"/>
                <w:sz w:val="20"/>
                <w:szCs w:val="20"/>
              </w:rPr>
            </w:pPr>
            <w:r w:rsidRPr="00150938">
              <w:rPr>
                <w:rFonts w:asciiTheme="majorBidi" w:hAnsiTheme="majorBidi" w:cstheme="majorBidi"/>
                <w:sz w:val="20"/>
                <w:szCs w:val="20"/>
              </w:rPr>
              <w:t>,001</w:t>
            </w:r>
          </w:p>
        </w:tc>
        <w:tc>
          <w:tcPr>
            <w:tcW w:w="1030" w:type="dxa"/>
            <w:shd w:val="clear" w:color="auto" w:fill="auto"/>
          </w:tcPr>
          <w:p w14:paraId="504A31C4" w14:textId="77777777" w:rsidR="00150938" w:rsidRPr="00150938" w:rsidRDefault="00150938" w:rsidP="00150938">
            <w:pPr>
              <w:widowControl w:val="0"/>
              <w:pBdr>
                <w:top w:val="nil"/>
                <w:left w:val="nil"/>
                <w:bottom w:val="nil"/>
                <w:right w:val="nil"/>
                <w:between w:val="nil"/>
              </w:pBdr>
              <w:spacing w:after="0" w:line="240" w:lineRule="auto"/>
              <w:jc w:val="both"/>
              <w:rPr>
                <w:rFonts w:asciiTheme="majorBidi" w:hAnsiTheme="majorBidi" w:cstheme="majorBidi"/>
                <w:sz w:val="20"/>
                <w:szCs w:val="20"/>
              </w:rPr>
            </w:pPr>
          </w:p>
        </w:tc>
      </w:tr>
      <w:tr w:rsidR="00150938" w:rsidRPr="00150938" w14:paraId="491E66DC" w14:textId="77777777" w:rsidTr="0066465F">
        <w:trPr>
          <w:trHeight w:val="320"/>
        </w:trPr>
        <w:tc>
          <w:tcPr>
            <w:tcW w:w="737" w:type="dxa"/>
            <w:vMerge/>
            <w:shd w:val="clear" w:color="auto" w:fill="auto"/>
          </w:tcPr>
          <w:p w14:paraId="1CCFEB1A" w14:textId="77777777" w:rsidR="00150938" w:rsidRPr="00150938" w:rsidRDefault="00150938" w:rsidP="00150938">
            <w:pPr>
              <w:widowControl w:val="0"/>
              <w:pBdr>
                <w:top w:val="nil"/>
                <w:left w:val="nil"/>
                <w:bottom w:val="nil"/>
                <w:right w:val="nil"/>
                <w:between w:val="nil"/>
              </w:pBdr>
              <w:spacing w:after="0" w:line="240" w:lineRule="auto"/>
              <w:rPr>
                <w:rFonts w:asciiTheme="majorBidi" w:hAnsiTheme="majorBidi" w:cstheme="majorBidi"/>
                <w:sz w:val="20"/>
                <w:szCs w:val="20"/>
              </w:rPr>
            </w:pPr>
          </w:p>
        </w:tc>
        <w:tc>
          <w:tcPr>
            <w:tcW w:w="2000" w:type="dxa"/>
            <w:shd w:val="clear" w:color="auto" w:fill="auto"/>
          </w:tcPr>
          <w:p w14:paraId="6F7B0B1A" w14:textId="77777777" w:rsidR="00150938" w:rsidRPr="00150938" w:rsidRDefault="00150938" w:rsidP="00150938">
            <w:pPr>
              <w:widowControl w:val="0"/>
              <w:pBdr>
                <w:top w:val="nil"/>
                <w:left w:val="nil"/>
                <w:bottom w:val="nil"/>
                <w:right w:val="nil"/>
                <w:between w:val="nil"/>
              </w:pBdr>
              <w:spacing w:after="0" w:line="240" w:lineRule="auto"/>
              <w:ind w:left="59"/>
              <w:jc w:val="both"/>
              <w:rPr>
                <w:rFonts w:asciiTheme="majorBidi" w:hAnsiTheme="majorBidi" w:cstheme="majorBidi"/>
                <w:sz w:val="20"/>
                <w:szCs w:val="20"/>
              </w:rPr>
            </w:pPr>
            <w:r w:rsidRPr="00150938">
              <w:rPr>
                <w:rFonts w:asciiTheme="majorBidi" w:hAnsiTheme="majorBidi" w:cstheme="majorBidi"/>
                <w:sz w:val="20"/>
                <w:szCs w:val="20"/>
              </w:rPr>
              <w:t>N</w:t>
            </w:r>
          </w:p>
        </w:tc>
        <w:tc>
          <w:tcPr>
            <w:tcW w:w="1030" w:type="dxa"/>
            <w:shd w:val="clear" w:color="auto" w:fill="auto"/>
          </w:tcPr>
          <w:p w14:paraId="5E65C94C" w14:textId="77777777" w:rsidR="00150938" w:rsidRPr="00150938" w:rsidRDefault="00150938" w:rsidP="00150938">
            <w:pPr>
              <w:widowControl w:val="0"/>
              <w:pBdr>
                <w:top w:val="nil"/>
                <w:left w:val="nil"/>
                <w:bottom w:val="nil"/>
                <w:right w:val="nil"/>
                <w:between w:val="nil"/>
              </w:pBdr>
              <w:spacing w:after="0" w:line="240" w:lineRule="auto"/>
              <w:ind w:right="56"/>
              <w:jc w:val="both"/>
              <w:rPr>
                <w:rFonts w:asciiTheme="majorBidi" w:hAnsiTheme="majorBidi" w:cstheme="majorBidi"/>
                <w:sz w:val="20"/>
                <w:szCs w:val="20"/>
              </w:rPr>
            </w:pPr>
            <w:r w:rsidRPr="00150938">
              <w:rPr>
                <w:rFonts w:asciiTheme="majorBidi" w:hAnsiTheme="majorBidi" w:cstheme="majorBidi"/>
                <w:sz w:val="20"/>
                <w:szCs w:val="20"/>
              </w:rPr>
              <w:t>15</w:t>
            </w:r>
          </w:p>
        </w:tc>
        <w:tc>
          <w:tcPr>
            <w:tcW w:w="1030" w:type="dxa"/>
            <w:shd w:val="clear" w:color="auto" w:fill="auto"/>
          </w:tcPr>
          <w:p w14:paraId="01E85556" w14:textId="77777777" w:rsidR="00150938" w:rsidRPr="00150938" w:rsidRDefault="00150938" w:rsidP="00150938">
            <w:pPr>
              <w:widowControl w:val="0"/>
              <w:pBdr>
                <w:top w:val="nil"/>
                <w:left w:val="nil"/>
                <w:bottom w:val="nil"/>
                <w:right w:val="nil"/>
                <w:between w:val="nil"/>
              </w:pBdr>
              <w:spacing w:after="0" w:line="240" w:lineRule="auto"/>
              <w:ind w:right="54"/>
              <w:jc w:val="both"/>
              <w:rPr>
                <w:rFonts w:asciiTheme="majorBidi" w:hAnsiTheme="majorBidi" w:cstheme="majorBidi"/>
                <w:sz w:val="20"/>
                <w:szCs w:val="20"/>
              </w:rPr>
            </w:pPr>
            <w:r w:rsidRPr="00150938">
              <w:rPr>
                <w:rFonts w:asciiTheme="majorBidi" w:hAnsiTheme="majorBidi" w:cstheme="majorBidi"/>
                <w:sz w:val="20"/>
                <w:szCs w:val="20"/>
              </w:rPr>
              <w:t>15</w:t>
            </w:r>
          </w:p>
        </w:tc>
      </w:tr>
    </w:tbl>
    <w:p w14:paraId="2E5CDC9E" w14:textId="77777777" w:rsidR="00150938" w:rsidRPr="00150938" w:rsidRDefault="00150938" w:rsidP="00150938">
      <w:pPr>
        <w:spacing w:before="115" w:after="0" w:line="240" w:lineRule="auto"/>
        <w:ind w:left="2151"/>
        <w:jc w:val="both"/>
        <w:rPr>
          <w:rFonts w:asciiTheme="majorBidi" w:hAnsiTheme="majorBidi" w:cstheme="majorBidi"/>
          <w:sz w:val="20"/>
          <w:szCs w:val="20"/>
        </w:rPr>
      </w:pPr>
      <w:r w:rsidRPr="00150938">
        <w:rPr>
          <w:rFonts w:asciiTheme="majorBidi" w:hAnsiTheme="majorBidi" w:cstheme="majorBidi"/>
          <w:color w:val="000104"/>
          <w:sz w:val="20"/>
          <w:szCs w:val="20"/>
        </w:rPr>
        <w:t>**. Correlation is significant at the 0.01 level (2-tailed).</w:t>
      </w:r>
    </w:p>
    <w:p w14:paraId="3B8869F2" w14:textId="77777777" w:rsidR="00150938" w:rsidRPr="00150938" w:rsidRDefault="00150938" w:rsidP="00150938">
      <w:pPr>
        <w:widowControl w:val="0"/>
        <w:pBdr>
          <w:top w:val="nil"/>
          <w:left w:val="nil"/>
          <w:bottom w:val="nil"/>
          <w:right w:val="nil"/>
          <w:between w:val="nil"/>
        </w:pBdr>
        <w:spacing w:before="90" w:after="0" w:line="240" w:lineRule="auto"/>
        <w:ind w:left="2088"/>
        <w:jc w:val="both"/>
        <w:rPr>
          <w:rFonts w:asciiTheme="majorBidi" w:hAnsiTheme="majorBidi" w:cstheme="majorBidi"/>
          <w:color w:val="000000"/>
          <w:sz w:val="20"/>
          <w:szCs w:val="20"/>
        </w:rPr>
      </w:pPr>
      <w:r w:rsidRPr="00150938">
        <w:rPr>
          <w:rFonts w:asciiTheme="majorBidi" w:hAnsiTheme="majorBidi" w:cstheme="majorBidi"/>
          <w:color w:val="000000"/>
          <w:sz w:val="20"/>
          <w:szCs w:val="20"/>
        </w:rPr>
        <w:t>Source: Processed results of SPSS 24, 2021</w:t>
      </w:r>
    </w:p>
    <w:p w14:paraId="7B554CDD" w14:textId="77777777" w:rsidR="00150938" w:rsidRPr="00150938" w:rsidRDefault="00150938" w:rsidP="00150938">
      <w:pPr>
        <w:widowControl w:val="0"/>
        <w:pBdr>
          <w:top w:val="nil"/>
          <w:left w:val="nil"/>
          <w:bottom w:val="nil"/>
          <w:right w:val="nil"/>
          <w:between w:val="nil"/>
        </w:pBdr>
        <w:spacing w:before="125" w:after="0" w:line="240" w:lineRule="auto"/>
        <w:ind w:right="57" w:firstLine="720"/>
        <w:jc w:val="both"/>
        <w:rPr>
          <w:rFonts w:asciiTheme="majorBidi" w:hAnsiTheme="majorBidi" w:cstheme="majorBidi"/>
          <w:color w:val="000000"/>
          <w:sz w:val="20"/>
          <w:szCs w:val="20"/>
        </w:rPr>
      </w:pPr>
      <w:r w:rsidRPr="00150938">
        <w:rPr>
          <w:rFonts w:asciiTheme="majorBidi" w:hAnsiTheme="majorBidi" w:cstheme="majorBidi"/>
          <w:color w:val="000000"/>
          <w:sz w:val="20"/>
          <w:szCs w:val="20"/>
        </w:rPr>
        <w:t>According to the output table, the correlation coefficient between Loan to Deposit Ratio (X) and Return On Assets (Y) is (r) = 0.748, with a significance of 0.001. As a result, the correlation between the two variables is strong because the accompanying significance is less than 0.05 (0.001&lt;0.05). The correlation that occurs is positive, which means that as the independent variable (Loan to Deposit Ratio) rises, so will the dependent variable (Return On Assets); the correlation that occurs is strong.</w:t>
      </w:r>
    </w:p>
    <w:p w14:paraId="1272C654" w14:textId="77777777" w:rsidR="00150938" w:rsidRPr="00150938" w:rsidRDefault="00150938" w:rsidP="00150938">
      <w:pPr>
        <w:spacing w:after="0" w:line="240" w:lineRule="auto"/>
        <w:jc w:val="both"/>
        <w:rPr>
          <w:rFonts w:asciiTheme="majorBidi" w:hAnsiTheme="majorBidi" w:cstheme="majorBidi"/>
          <w:sz w:val="20"/>
          <w:szCs w:val="20"/>
        </w:rPr>
      </w:pPr>
    </w:p>
    <w:p w14:paraId="50FDC773" w14:textId="77777777" w:rsidR="00150938" w:rsidRDefault="00150938" w:rsidP="00150938">
      <w:pPr>
        <w:spacing w:after="0" w:line="240" w:lineRule="auto"/>
        <w:jc w:val="both"/>
        <w:rPr>
          <w:rFonts w:asciiTheme="majorBidi" w:hAnsiTheme="majorBidi" w:cstheme="majorBidi"/>
          <w:b/>
          <w:bCs/>
          <w:sz w:val="20"/>
          <w:szCs w:val="20"/>
        </w:rPr>
      </w:pPr>
    </w:p>
    <w:p w14:paraId="588A5D00" w14:textId="77777777" w:rsidR="00150938" w:rsidRDefault="00150938" w:rsidP="00150938">
      <w:pPr>
        <w:spacing w:after="0" w:line="240" w:lineRule="auto"/>
        <w:jc w:val="both"/>
        <w:rPr>
          <w:rFonts w:asciiTheme="majorBidi" w:hAnsiTheme="majorBidi" w:cstheme="majorBidi"/>
          <w:b/>
          <w:bCs/>
          <w:sz w:val="20"/>
          <w:szCs w:val="20"/>
        </w:rPr>
      </w:pPr>
    </w:p>
    <w:p w14:paraId="582F4AB9" w14:textId="4F1EAD2E" w:rsidR="00150938" w:rsidRPr="00150938" w:rsidRDefault="00150938" w:rsidP="00150938">
      <w:pPr>
        <w:spacing w:after="0" w:line="240" w:lineRule="auto"/>
        <w:jc w:val="both"/>
        <w:rPr>
          <w:rFonts w:asciiTheme="majorBidi" w:hAnsiTheme="majorBidi" w:cstheme="majorBidi"/>
          <w:b/>
          <w:bCs/>
          <w:sz w:val="20"/>
          <w:szCs w:val="20"/>
        </w:rPr>
      </w:pPr>
      <w:r w:rsidRPr="00150938">
        <w:rPr>
          <w:rFonts w:asciiTheme="majorBidi" w:hAnsiTheme="majorBidi" w:cstheme="majorBidi"/>
          <w:b/>
          <w:bCs/>
          <w:sz w:val="20"/>
          <w:szCs w:val="20"/>
        </w:rPr>
        <w:t>Simple Linear Regression Analysis</w:t>
      </w:r>
    </w:p>
    <w:p w14:paraId="29527C9E" w14:textId="77777777" w:rsidR="00150938" w:rsidRPr="00150938" w:rsidRDefault="00150938" w:rsidP="00150938">
      <w:pPr>
        <w:spacing w:before="124" w:after="0" w:line="240" w:lineRule="auto"/>
        <w:ind w:right="-33" w:firstLine="720"/>
        <w:jc w:val="both"/>
        <w:rPr>
          <w:rFonts w:asciiTheme="majorBidi" w:hAnsiTheme="majorBidi" w:cstheme="majorBidi"/>
          <w:sz w:val="20"/>
          <w:szCs w:val="20"/>
        </w:rPr>
      </w:pPr>
      <w:r w:rsidRPr="00150938">
        <w:rPr>
          <w:rFonts w:asciiTheme="majorBidi" w:hAnsiTheme="majorBidi" w:cstheme="majorBidi"/>
          <w:sz w:val="20"/>
          <w:szCs w:val="20"/>
        </w:rPr>
        <w:t>The effect of the independent factors on the dependent variable, namely the Loan to Deposit Ratio (LDR) on Return On Assets  (ROA), was examined using simple linear regression analysis.</w:t>
      </w:r>
    </w:p>
    <w:p w14:paraId="5C8371F8" w14:textId="77777777" w:rsidR="00150938" w:rsidRPr="00150938" w:rsidRDefault="00150938" w:rsidP="00150938">
      <w:pPr>
        <w:spacing w:before="124" w:after="0" w:line="240" w:lineRule="auto"/>
        <w:ind w:right="99"/>
        <w:jc w:val="center"/>
        <w:rPr>
          <w:rFonts w:asciiTheme="majorBidi" w:hAnsiTheme="majorBidi" w:cstheme="majorBidi"/>
          <w:b/>
          <w:sz w:val="20"/>
          <w:szCs w:val="20"/>
        </w:rPr>
      </w:pPr>
      <w:r w:rsidRPr="00150938">
        <w:rPr>
          <w:rFonts w:asciiTheme="majorBidi" w:hAnsiTheme="majorBidi" w:cstheme="majorBidi"/>
          <w:b/>
          <w:sz w:val="20"/>
          <w:szCs w:val="20"/>
        </w:rPr>
        <w:t>Table 4.4.</w:t>
      </w:r>
    </w:p>
    <w:p w14:paraId="39B81641" w14:textId="77777777" w:rsidR="00150938" w:rsidRPr="00150938" w:rsidRDefault="00150938" w:rsidP="00150938">
      <w:pPr>
        <w:spacing w:after="0" w:line="240" w:lineRule="auto"/>
        <w:ind w:right="99"/>
        <w:jc w:val="center"/>
        <w:rPr>
          <w:rFonts w:asciiTheme="majorBidi" w:hAnsiTheme="majorBidi" w:cstheme="majorBidi"/>
          <w:b/>
          <w:sz w:val="20"/>
          <w:szCs w:val="20"/>
        </w:rPr>
      </w:pPr>
      <w:r w:rsidRPr="00150938">
        <w:rPr>
          <w:rFonts w:asciiTheme="majorBidi" w:hAnsiTheme="majorBidi" w:cstheme="majorBidi"/>
          <w:b/>
          <w:sz w:val="20"/>
          <w:szCs w:val="20"/>
        </w:rPr>
        <w:t>Results of Simple Linear Regression Analysis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7"/>
        <w:gridCol w:w="1184"/>
        <w:gridCol w:w="1165"/>
        <w:gridCol w:w="1134"/>
        <w:gridCol w:w="1856"/>
        <w:gridCol w:w="1121"/>
        <w:gridCol w:w="1275"/>
      </w:tblGrid>
      <w:tr w:rsidR="00150938" w:rsidRPr="00150938" w14:paraId="3F04947F" w14:textId="77777777" w:rsidTr="0066465F">
        <w:trPr>
          <w:trHeight w:val="630"/>
        </w:trPr>
        <w:tc>
          <w:tcPr>
            <w:tcW w:w="4820" w:type="dxa"/>
            <w:gridSpan w:val="4"/>
            <w:shd w:val="clear" w:color="auto" w:fill="auto"/>
            <w:vAlign w:val="center"/>
          </w:tcPr>
          <w:p w14:paraId="663A8950" w14:textId="77777777" w:rsidR="00150938" w:rsidRPr="00150938" w:rsidRDefault="00150938" w:rsidP="00F70487">
            <w:pPr>
              <w:widowControl w:val="0"/>
              <w:pBdr>
                <w:top w:val="nil"/>
                <w:left w:val="nil"/>
                <w:bottom w:val="nil"/>
                <w:right w:val="nil"/>
                <w:between w:val="nil"/>
              </w:pBdr>
              <w:spacing w:after="0" w:line="240" w:lineRule="auto"/>
              <w:ind w:left="2127"/>
              <w:jc w:val="center"/>
              <w:rPr>
                <w:rFonts w:asciiTheme="majorBidi" w:hAnsiTheme="majorBidi" w:cstheme="majorBidi"/>
                <w:b/>
                <w:bCs/>
                <w:sz w:val="20"/>
                <w:szCs w:val="20"/>
              </w:rPr>
            </w:pPr>
            <w:r w:rsidRPr="00150938">
              <w:rPr>
                <w:rFonts w:asciiTheme="majorBidi" w:hAnsiTheme="majorBidi" w:cstheme="majorBidi"/>
                <w:b/>
                <w:bCs/>
                <w:sz w:val="20"/>
                <w:szCs w:val="20"/>
              </w:rPr>
              <w:t>Unstandardized Coefficients</w:t>
            </w:r>
          </w:p>
        </w:tc>
        <w:tc>
          <w:tcPr>
            <w:tcW w:w="1856" w:type="dxa"/>
            <w:shd w:val="clear" w:color="auto" w:fill="auto"/>
            <w:vAlign w:val="center"/>
          </w:tcPr>
          <w:p w14:paraId="6EB2A9C3" w14:textId="77777777" w:rsidR="00150938" w:rsidRPr="00150938" w:rsidRDefault="00150938" w:rsidP="00F70487">
            <w:pPr>
              <w:widowControl w:val="0"/>
              <w:pBdr>
                <w:top w:val="nil"/>
                <w:left w:val="nil"/>
                <w:bottom w:val="nil"/>
                <w:right w:val="nil"/>
                <w:between w:val="nil"/>
              </w:pBdr>
              <w:spacing w:after="0" w:line="240" w:lineRule="auto"/>
              <w:ind w:left="254" w:right="182" w:hanging="60"/>
              <w:jc w:val="center"/>
              <w:rPr>
                <w:rFonts w:asciiTheme="majorBidi" w:hAnsiTheme="majorBidi" w:cstheme="majorBidi"/>
                <w:b/>
                <w:bCs/>
                <w:sz w:val="20"/>
                <w:szCs w:val="20"/>
              </w:rPr>
            </w:pPr>
            <w:r w:rsidRPr="00150938">
              <w:rPr>
                <w:rFonts w:asciiTheme="majorBidi" w:hAnsiTheme="majorBidi" w:cstheme="majorBidi"/>
                <w:b/>
                <w:bCs/>
                <w:sz w:val="20"/>
                <w:szCs w:val="20"/>
              </w:rPr>
              <w:t>Standardized Coefficients</w:t>
            </w:r>
          </w:p>
        </w:tc>
        <w:tc>
          <w:tcPr>
            <w:tcW w:w="1121" w:type="dxa"/>
            <w:vMerge w:val="restart"/>
            <w:shd w:val="clear" w:color="auto" w:fill="auto"/>
            <w:vAlign w:val="center"/>
          </w:tcPr>
          <w:p w14:paraId="572786AA" w14:textId="77777777" w:rsidR="00150938" w:rsidRPr="00150938" w:rsidRDefault="00150938" w:rsidP="00F70487">
            <w:pPr>
              <w:widowControl w:val="0"/>
              <w:pBdr>
                <w:top w:val="nil"/>
                <w:left w:val="nil"/>
                <w:bottom w:val="nil"/>
                <w:right w:val="nil"/>
                <w:between w:val="nil"/>
              </w:pBdr>
              <w:spacing w:before="1" w:after="0" w:line="240" w:lineRule="auto"/>
              <w:ind w:right="5"/>
              <w:jc w:val="center"/>
              <w:rPr>
                <w:rFonts w:asciiTheme="majorBidi" w:hAnsiTheme="majorBidi" w:cstheme="majorBidi"/>
                <w:b/>
                <w:bCs/>
                <w:sz w:val="20"/>
                <w:szCs w:val="20"/>
              </w:rPr>
            </w:pPr>
            <w:r w:rsidRPr="00150938">
              <w:rPr>
                <w:rFonts w:asciiTheme="majorBidi" w:hAnsiTheme="majorBidi" w:cstheme="majorBidi"/>
                <w:b/>
                <w:bCs/>
                <w:sz w:val="20"/>
                <w:szCs w:val="20"/>
              </w:rPr>
              <w:t>t</w:t>
            </w:r>
          </w:p>
        </w:tc>
        <w:tc>
          <w:tcPr>
            <w:tcW w:w="1275" w:type="dxa"/>
            <w:vMerge w:val="restart"/>
            <w:shd w:val="clear" w:color="auto" w:fill="auto"/>
            <w:vAlign w:val="center"/>
          </w:tcPr>
          <w:p w14:paraId="22660618" w14:textId="77777777" w:rsidR="00150938" w:rsidRPr="00150938" w:rsidRDefault="00150938" w:rsidP="00F70487">
            <w:pPr>
              <w:widowControl w:val="0"/>
              <w:pBdr>
                <w:top w:val="nil"/>
                <w:left w:val="nil"/>
                <w:bottom w:val="nil"/>
                <w:right w:val="nil"/>
                <w:between w:val="nil"/>
              </w:pBdr>
              <w:spacing w:before="1" w:after="0" w:line="240" w:lineRule="auto"/>
              <w:ind w:left="330" w:right="334"/>
              <w:jc w:val="center"/>
              <w:rPr>
                <w:rFonts w:asciiTheme="majorBidi" w:hAnsiTheme="majorBidi" w:cstheme="majorBidi"/>
                <w:b/>
                <w:bCs/>
                <w:sz w:val="20"/>
                <w:szCs w:val="20"/>
              </w:rPr>
            </w:pPr>
            <w:r w:rsidRPr="00150938">
              <w:rPr>
                <w:rFonts w:asciiTheme="majorBidi" w:hAnsiTheme="majorBidi" w:cstheme="majorBidi"/>
                <w:b/>
                <w:bCs/>
                <w:sz w:val="20"/>
                <w:szCs w:val="20"/>
              </w:rPr>
              <w:t>Sig.</w:t>
            </w:r>
          </w:p>
        </w:tc>
      </w:tr>
      <w:tr w:rsidR="00150938" w:rsidRPr="00150938" w14:paraId="4E57CF5B" w14:textId="77777777" w:rsidTr="0066465F">
        <w:trPr>
          <w:trHeight w:val="296"/>
        </w:trPr>
        <w:tc>
          <w:tcPr>
            <w:tcW w:w="1337" w:type="dxa"/>
            <w:shd w:val="clear" w:color="auto" w:fill="auto"/>
            <w:vAlign w:val="center"/>
          </w:tcPr>
          <w:p w14:paraId="2DC19472" w14:textId="77777777" w:rsidR="00150938" w:rsidRPr="00150938" w:rsidRDefault="00150938" w:rsidP="00F70487">
            <w:pPr>
              <w:widowControl w:val="0"/>
              <w:pBdr>
                <w:top w:val="nil"/>
                <w:left w:val="nil"/>
                <w:bottom w:val="nil"/>
                <w:right w:val="nil"/>
                <w:between w:val="nil"/>
              </w:pBdr>
              <w:spacing w:before="89" w:after="0" w:line="240" w:lineRule="auto"/>
              <w:ind w:left="60"/>
              <w:jc w:val="center"/>
              <w:rPr>
                <w:rFonts w:asciiTheme="majorBidi" w:hAnsiTheme="majorBidi" w:cstheme="majorBidi"/>
                <w:b/>
                <w:bCs/>
                <w:sz w:val="20"/>
                <w:szCs w:val="20"/>
              </w:rPr>
            </w:pPr>
            <w:r w:rsidRPr="00150938">
              <w:rPr>
                <w:rFonts w:asciiTheme="majorBidi" w:hAnsiTheme="majorBidi" w:cstheme="majorBidi"/>
                <w:b/>
                <w:bCs/>
                <w:sz w:val="20"/>
                <w:szCs w:val="20"/>
              </w:rPr>
              <w:t>Model</w:t>
            </w:r>
          </w:p>
        </w:tc>
        <w:tc>
          <w:tcPr>
            <w:tcW w:w="1184" w:type="dxa"/>
            <w:shd w:val="clear" w:color="auto" w:fill="auto"/>
            <w:vAlign w:val="center"/>
          </w:tcPr>
          <w:p w14:paraId="766897C0" w14:textId="77777777" w:rsidR="00150938" w:rsidRPr="00150938" w:rsidRDefault="00150938" w:rsidP="00F70487">
            <w:pPr>
              <w:widowControl w:val="0"/>
              <w:pBdr>
                <w:top w:val="nil"/>
                <w:left w:val="nil"/>
                <w:bottom w:val="nil"/>
                <w:right w:val="nil"/>
                <w:between w:val="nil"/>
              </w:pBdr>
              <w:spacing w:after="0" w:line="240" w:lineRule="auto"/>
              <w:jc w:val="center"/>
              <w:rPr>
                <w:rFonts w:asciiTheme="majorBidi" w:hAnsiTheme="majorBidi" w:cstheme="majorBidi"/>
                <w:b/>
                <w:bCs/>
                <w:sz w:val="20"/>
                <w:szCs w:val="20"/>
              </w:rPr>
            </w:pPr>
          </w:p>
        </w:tc>
        <w:tc>
          <w:tcPr>
            <w:tcW w:w="1165" w:type="dxa"/>
            <w:shd w:val="clear" w:color="auto" w:fill="auto"/>
            <w:vAlign w:val="center"/>
          </w:tcPr>
          <w:p w14:paraId="2592A5C0" w14:textId="77777777" w:rsidR="00150938" w:rsidRPr="00150938" w:rsidRDefault="00150938" w:rsidP="00F70487">
            <w:pPr>
              <w:widowControl w:val="0"/>
              <w:pBdr>
                <w:top w:val="nil"/>
                <w:left w:val="nil"/>
                <w:bottom w:val="nil"/>
                <w:right w:val="nil"/>
                <w:between w:val="nil"/>
              </w:pBdr>
              <w:spacing w:before="89" w:after="0" w:line="240" w:lineRule="auto"/>
              <w:ind w:right="3"/>
              <w:jc w:val="center"/>
              <w:rPr>
                <w:rFonts w:asciiTheme="majorBidi" w:hAnsiTheme="majorBidi" w:cstheme="majorBidi"/>
                <w:b/>
                <w:bCs/>
                <w:sz w:val="20"/>
                <w:szCs w:val="20"/>
              </w:rPr>
            </w:pPr>
            <w:r w:rsidRPr="00150938">
              <w:rPr>
                <w:rFonts w:asciiTheme="majorBidi" w:hAnsiTheme="majorBidi" w:cstheme="majorBidi"/>
                <w:b/>
                <w:bCs/>
                <w:sz w:val="20"/>
                <w:szCs w:val="20"/>
              </w:rPr>
              <w:t>B</w:t>
            </w:r>
          </w:p>
        </w:tc>
        <w:tc>
          <w:tcPr>
            <w:tcW w:w="1134" w:type="dxa"/>
            <w:shd w:val="clear" w:color="auto" w:fill="auto"/>
            <w:vAlign w:val="center"/>
          </w:tcPr>
          <w:p w14:paraId="05ED7A1D" w14:textId="77777777" w:rsidR="00150938" w:rsidRPr="00150938" w:rsidRDefault="00150938" w:rsidP="00F70487">
            <w:pPr>
              <w:widowControl w:val="0"/>
              <w:pBdr>
                <w:top w:val="nil"/>
                <w:left w:val="nil"/>
                <w:bottom w:val="nil"/>
                <w:right w:val="nil"/>
                <w:between w:val="nil"/>
              </w:pBdr>
              <w:spacing w:before="89" w:after="0" w:line="240" w:lineRule="auto"/>
              <w:ind w:left="271"/>
              <w:jc w:val="center"/>
              <w:rPr>
                <w:rFonts w:asciiTheme="majorBidi" w:hAnsiTheme="majorBidi" w:cstheme="majorBidi"/>
                <w:b/>
                <w:bCs/>
                <w:sz w:val="20"/>
                <w:szCs w:val="20"/>
              </w:rPr>
            </w:pPr>
            <w:r w:rsidRPr="00150938">
              <w:rPr>
                <w:rFonts w:asciiTheme="majorBidi" w:hAnsiTheme="majorBidi" w:cstheme="majorBidi"/>
                <w:b/>
                <w:bCs/>
                <w:sz w:val="20"/>
                <w:szCs w:val="20"/>
              </w:rPr>
              <w:t>std. Error</w:t>
            </w:r>
          </w:p>
        </w:tc>
        <w:tc>
          <w:tcPr>
            <w:tcW w:w="1856" w:type="dxa"/>
            <w:shd w:val="clear" w:color="auto" w:fill="auto"/>
            <w:vAlign w:val="center"/>
          </w:tcPr>
          <w:p w14:paraId="02726954" w14:textId="77777777" w:rsidR="00150938" w:rsidRPr="00150938" w:rsidRDefault="00150938" w:rsidP="00F70487">
            <w:pPr>
              <w:widowControl w:val="0"/>
              <w:pBdr>
                <w:top w:val="nil"/>
                <w:left w:val="nil"/>
                <w:bottom w:val="nil"/>
                <w:right w:val="nil"/>
                <w:between w:val="nil"/>
              </w:pBdr>
              <w:spacing w:before="89" w:after="0" w:line="240" w:lineRule="auto"/>
              <w:ind w:left="519" w:right="523"/>
              <w:jc w:val="center"/>
              <w:rPr>
                <w:rFonts w:asciiTheme="majorBidi" w:hAnsiTheme="majorBidi" w:cstheme="majorBidi"/>
                <w:b/>
                <w:bCs/>
                <w:sz w:val="20"/>
                <w:szCs w:val="20"/>
              </w:rPr>
            </w:pPr>
            <w:r w:rsidRPr="00150938">
              <w:rPr>
                <w:rFonts w:asciiTheme="majorBidi" w:hAnsiTheme="majorBidi" w:cstheme="majorBidi"/>
                <w:b/>
                <w:bCs/>
                <w:sz w:val="20"/>
                <w:szCs w:val="20"/>
              </w:rPr>
              <w:t>Betas</w:t>
            </w:r>
          </w:p>
        </w:tc>
        <w:tc>
          <w:tcPr>
            <w:tcW w:w="1121" w:type="dxa"/>
            <w:vMerge/>
            <w:shd w:val="clear" w:color="auto" w:fill="auto"/>
            <w:vAlign w:val="center"/>
          </w:tcPr>
          <w:p w14:paraId="7A3F773B" w14:textId="77777777" w:rsidR="00150938" w:rsidRPr="00150938" w:rsidRDefault="00150938" w:rsidP="00F70487">
            <w:pPr>
              <w:widowControl w:val="0"/>
              <w:pBdr>
                <w:top w:val="nil"/>
                <w:left w:val="nil"/>
                <w:bottom w:val="nil"/>
                <w:right w:val="nil"/>
                <w:between w:val="nil"/>
              </w:pBdr>
              <w:spacing w:after="0" w:line="240" w:lineRule="auto"/>
              <w:jc w:val="center"/>
              <w:rPr>
                <w:rFonts w:asciiTheme="majorBidi" w:hAnsiTheme="majorBidi" w:cstheme="majorBidi"/>
                <w:b/>
                <w:bCs/>
                <w:sz w:val="20"/>
                <w:szCs w:val="20"/>
              </w:rPr>
            </w:pPr>
          </w:p>
        </w:tc>
        <w:tc>
          <w:tcPr>
            <w:tcW w:w="1275" w:type="dxa"/>
            <w:vMerge/>
            <w:shd w:val="clear" w:color="auto" w:fill="auto"/>
            <w:vAlign w:val="center"/>
          </w:tcPr>
          <w:p w14:paraId="6FCE09B8" w14:textId="77777777" w:rsidR="00150938" w:rsidRPr="00150938" w:rsidRDefault="00150938" w:rsidP="00F70487">
            <w:pPr>
              <w:widowControl w:val="0"/>
              <w:pBdr>
                <w:top w:val="nil"/>
                <w:left w:val="nil"/>
                <w:bottom w:val="nil"/>
                <w:right w:val="nil"/>
                <w:between w:val="nil"/>
              </w:pBdr>
              <w:spacing w:after="0" w:line="240" w:lineRule="auto"/>
              <w:jc w:val="center"/>
              <w:rPr>
                <w:rFonts w:asciiTheme="majorBidi" w:hAnsiTheme="majorBidi" w:cstheme="majorBidi"/>
                <w:b/>
                <w:bCs/>
                <w:sz w:val="20"/>
                <w:szCs w:val="20"/>
              </w:rPr>
            </w:pPr>
          </w:p>
        </w:tc>
      </w:tr>
      <w:tr w:rsidR="00150938" w:rsidRPr="00150938" w14:paraId="22B7505A" w14:textId="77777777" w:rsidTr="0066465F">
        <w:trPr>
          <w:trHeight w:val="320"/>
        </w:trPr>
        <w:tc>
          <w:tcPr>
            <w:tcW w:w="1337" w:type="dxa"/>
            <w:vMerge w:val="restart"/>
            <w:shd w:val="clear" w:color="auto" w:fill="auto"/>
            <w:vAlign w:val="center"/>
          </w:tcPr>
          <w:p w14:paraId="19BAA51C" w14:textId="77777777" w:rsidR="00150938" w:rsidRPr="00150938" w:rsidRDefault="00150938" w:rsidP="00F70487">
            <w:pPr>
              <w:widowControl w:val="0"/>
              <w:pBdr>
                <w:top w:val="nil"/>
                <w:left w:val="nil"/>
                <w:bottom w:val="nil"/>
                <w:right w:val="nil"/>
                <w:between w:val="nil"/>
              </w:pBdr>
              <w:spacing w:before="114" w:after="0" w:line="240" w:lineRule="auto"/>
              <w:ind w:left="60"/>
              <w:jc w:val="center"/>
              <w:rPr>
                <w:rFonts w:asciiTheme="majorBidi" w:hAnsiTheme="majorBidi" w:cstheme="majorBidi"/>
                <w:sz w:val="20"/>
                <w:szCs w:val="20"/>
              </w:rPr>
            </w:pPr>
            <w:r w:rsidRPr="00150938">
              <w:rPr>
                <w:rFonts w:asciiTheme="majorBidi" w:hAnsiTheme="majorBidi" w:cstheme="majorBidi"/>
                <w:sz w:val="20"/>
                <w:szCs w:val="20"/>
              </w:rPr>
              <w:t>1</w:t>
            </w:r>
          </w:p>
        </w:tc>
        <w:tc>
          <w:tcPr>
            <w:tcW w:w="1184" w:type="dxa"/>
            <w:shd w:val="clear" w:color="auto" w:fill="auto"/>
            <w:vAlign w:val="center"/>
          </w:tcPr>
          <w:p w14:paraId="285CEEDA" w14:textId="77777777" w:rsidR="00150938" w:rsidRPr="00150938" w:rsidRDefault="00150938" w:rsidP="00F70487">
            <w:pPr>
              <w:widowControl w:val="0"/>
              <w:pBdr>
                <w:top w:val="nil"/>
                <w:left w:val="nil"/>
                <w:bottom w:val="nil"/>
                <w:right w:val="nil"/>
                <w:between w:val="nil"/>
              </w:pBdr>
              <w:spacing w:before="114" w:after="0" w:line="240" w:lineRule="auto"/>
              <w:ind w:left="59"/>
              <w:jc w:val="center"/>
              <w:rPr>
                <w:rFonts w:asciiTheme="majorBidi" w:hAnsiTheme="majorBidi" w:cstheme="majorBidi"/>
                <w:sz w:val="20"/>
                <w:szCs w:val="20"/>
              </w:rPr>
            </w:pPr>
            <w:r w:rsidRPr="00150938">
              <w:rPr>
                <w:rFonts w:asciiTheme="majorBidi" w:hAnsiTheme="majorBidi" w:cstheme="majorBidi"/>
                <w:sz w:val="20"/>
                <w:szCs w:val="20"/>
              </w:rPr>
              <w:t>(Constant)</w:t>
            </w:r>
          </w:p>
        </w:tc>
        <w:tc>
          <w:tcPr>
            <w:tcW w:w="1165" w:type="dxa"/>
            <w:shd w:val="clear" w:color="auto" w:fill="auto"/>
            <w:vAlign w:val="center"/>
          </w:tcPr>
          <w:p w14:paraId="1043E635" w14:textId="77777777" w:rsidR="00150938" w:rsidRPr="00150938" w:rsidRDefault="00150938" w:rsidP="00F70487">
            <w:pPr>
              <w:widowControl w:val="0"/>
              <w:pBdr>
                <w:top w:val="nil"/>
                <w:left w:val="nil"/>
                <w:bottom w:val="nil"/>
                <w:right w:val="nil"/>
                <w:between w:val="nil"/>
              </w:pBdr>
              <w:spacing w:before="114" w:after="0" w:line="240" w:lineRule="auto"/>
              <w:ind w:right="60"/>
              <w:jc w:val="center"/>
              <w:rPr>
                <w:rFonts w:asciiTheme="majorBidi" w:hAnsiTheme="majorBidi" w:cstheme="majorBidi"/>
                <w:sz w:val="20"/>
                <w:szCs w:val="20"/>
              </w:rPr>
            </w:pPr>
            <w:r w:rsidRPr="00150938">
              <w:rPr>
                <w:rFonts w:asciiTheme="majorBidi" w:hAnsiTheme="majorBidi" w:cstheme="majorBidi"/>
                <w:sz w:val="20"/>
                <w:szCs w:val="20"/>
              </w:rPr>
              <w:t>-4,197</w:t>
            </w:r>
          </w:p>
        </w:tc>
        <w:tc>
          <w:tcPr>
            <w:tcW w:w="1134" w:type="dxa"/>
            <w:shd w:val="clear" w:color="auto" w:fill="auto"/>
            <w:vAlign w:val="center"/>
          </w:tcPr>
          <w:p w14:paraId="17E33DE6" w14:textId="77777777" w:rsidR="00150938" w:rsidRPr="00150938" w:rsidRDefault="00150938" w:rsidP="00F70487">
            <w:pPr>
              <w:widowControl w:val="0"/>
              <w:pBdr>
                <w:top w:val="nil"/>
                <w:left w:val="nil"/>
                <w:bottom w:val="nil"/>
                <w:right w:val="nil"/>
                <w:between w:val="nil"/>
              </w:pBdr>
              <w:spacing w:before="114" w:after="0" w:line="240" w:lineRule="auto"/>
              <w:ind w:right="58"/>
              <w:jc w:val="center"/>
              <w:rPr>
                <w:rFonts w:asciiTheme="majorBidi" w:hAnsiTheme="majorBidi" w:cstheme="majorBidi"/>
                <w:sz w:val="20"/>
                <w:szCs w:val="20"/>
              </w:rPr>
            </w:pPr>
            <w:r w:rsidRPr="00150938">
              <w:rPr>
                <w:rFonts w:asciiTheme="majorBidi" w:hAnsiTheme="majorBidi" w:cstheme="majorBidi"/>
                <w:sz w:val="20"/>
                <w:szCs w:val="20"/>
              </w:rPr>
              <w:t>1,279</w:t>
            </w:r>
          </w:p>
        </w:tc>
        <w:tc>
          <w:tcPr>
            <w:tcW w:w="1856" w:type="dxa"/>
            <w:shd w:val="clear" w:color="auto" w:fill="auto"/>
            <w:vAlign w:val="center"/>
          </w:tcPr>
          <w:p w14:paraId="03CA4E57" w14:textId="77777777" w:rsidR="00150938" w:rsidRPr="00150938" w:rsidRDefault="00150938" w:rsidP="00F70487">
            <w:pPr>
              <w:widowControl w:val="0"/>
              <w:pBdr>
                <w:top w:val="nil"/>
                <w:left w:val="nil"/>
                <w:bottom w:val="nil"/>
                <w:right w:val="nil"/>
                <w:between w:val="nil"/>
              </w:pBdr>
              <w:spacing w:after="0" w:line="240" w:lineRule="auto"/>
              <w:jc w:val="center"/>
              <w:rPr>
                <w:rFonts w:asciiTheme="majorBidi" w:hAnsiTheme="majorBidi" w:cstheme="majorBidi"/>
                <w:sz w:val="20"/>
                <w:szCs w:val="20"/>
              </w:rPr>
            </w:pPr>
          </w:p>
        </w:tc>
        <w:tc>
          <w:tcPr>
            <w:tcW w:w="1121" w:type="dxa"/>
            <w:shd w:val="clear" w:color="auto" w:fill="auto"/>
            <w:vAlign w:val="center"/>
          </w:tcPr>
          <w:p w14:paraId="032C1269" w14:textId="77777777" w:rsidR="00150938" w:rsidRPr="00150938" w:rsidRDefault="00150938" w:rsidP="00F70487">
            <w:pPr>
              <w:widowControl w:val="0"/>
              <w:pBdr>
                <w:top w:val="nil"/>
                <w:left w:val="nil"/>
                <w:bottom w:val="nil"/>
                <w:right w:val="nil"/>
                <w:between w:val="nil"/>
              </w:pBdr>
              <w:spacing w:before="114" w:after="0" w:line="240" w:lineRule="auto"/>
              <w:ind w:right="60"/>
              <w:jc w:val="center"/>
              <w:rPr>
                <w:rFonts w:asciiTheme="majorBidi" w:hAnsiTheme="majorBidi" w:cstheme="majorBidi"/>
                <w:sz w:val="20"/>
                <w:szCs w:val="20"/>
              </w:rPr>
            </w:pPr>
            <w:r w:rsidRPr="00150938">
              <w:rPr>
                <w:rFonts w:asciiTheme="majorBidi" w:hAnsiTheme="majorBidi" w:cstheme="majorBidi"/>
                <w:sz w:val="20"/>
                <w:szCs w:val="20"/>
              </w:rPr>
              <w:t>-3,283</w:t>
            </w:r>
          </w:p>
        </w:tc>
        <w:tc>
          <w:tcPr>
            <w:tcW w:w="1275" w:type="dxa"/>
            <w:shd w:val="clear" w:color="auto" w:fill="auto"/>
            <w:vAlign w:val="center"/>
          </w:tcPr>
          <w:p w14:paraId="4CCAFF77" w14:textId="77777777" w:rsidR="00150938" w:rsidRPr="00150938" w:rsidRDefault="00150938" w:rsidP="00F70487">
            <w:pPr>
              <w:widowControl w:val="0"/>
              <w:pBdr>
                <w:top w:val="nil"/>
                <w:left w:val="nil"/>
                <w:bottom w:val="nil"/>
                <w:right w:val="nil"/>
                <w:between w:val="nil"/>
              </w:pBdr>
              <w:spacing w:before="114" w:after="0" w:line="240" w:lineRule="auto"/>
              <w:ind w:right="60"/>
              <w:jc w:val="center"/>
              <w:rPr>
                <w:rFonts w:asciiTheme="majorBidi" w:hAnsiTheme="majorBidi" w:cstheme="majorBidi"/>
                <w:sz w:val="20"/>
                <w:szCs w:val="20"/>
              </w:rPr>
            </w:pPr>
            <w:r w:rsidRPr="00150938">
              <w:rPr>
                <w:rFonts w:asciiTheme="majorBidi" w:hAnsiTheme="majorBidi" w:cstheme="majorBidi"/>
                <w:sz w:val="20"/>
                <w:szCs w:val="20"/>
              </w:rPr>
              <w:t>,006</w:t>
            </w:r>
          </w:p>
        </w:tc>
      </w:tr>
      <w:tr w:rsidR="00150938" w:rsidRPr="00150938" w14:paraId="42B08EB2" w14:textId="77777777" w:rsidTr="0066465F">
        <w:trPr>
          <w:trHeight w:val="320"/>
        </w:trPr>
        <w:tc>
          <w:tcPr>
            <w:tcW w:w="1337" w:type="dxa"/>
            <w:vMerge/>
            <w:shd w:val="clear" w:color="auto" w:fill="auto"/>
            <w:vAlign w:val="center"/>
          </w:tcPr>
          <w:p w14:paraId="6D924830" w14:textId="77777777" w:rsidR="00150938" w:rsidRPr="00150938" w:rsidRDefault="00150938" w:rsidP="00F70487">
            <w:pPr>
              <w:widowControl w:val="0"/>
              <w:pBdr>
                <w:top w:val="nil"/>
                <w:left w:val="nil"/>
                <w:bottom w:val="nil"/>
                <w:right w:val="nil"/>
                <w:between w:val="nil"/>
              </w:pBdr>
              <w:spacing w:after="0" w:line="240" w:lineRule="auto"/>
              <w:jc w:val="center"/>
              <w:rPr>
                <w:rFonts w:asciiTheme="majorBidi" w:hAnsiTheme="majorBidi" w:cstheme="majorBidi"/>
                <w:sz w:val="20"/>
                <w:szCs w:val="20"/>
              </w:rPr>
            </w:pPr>
          </w:p>
        </w:tc>
        <w:tc>
          <w:tcPr>
            <w:tcW w:w="1184" w:type="dxa"/>
            <w:shd w:val="clear" w:color="auto" w:fill="auto"/>
            <w:vAlign w:val="center"/>
          </w:tcPr>
          <w:p w14:paraId="1FE83BD2" w14:textId="77777777" w:rsidR="00150938" w:rsidRPr="00150938" w:rsidRDefault="00150938" w:rsidP="00F70487">
            <w:pPr>
              <w:widowControl w:val="0"/>
              <w:pBdr>
                <w:top w:val="nil"/>
                <w:left w:val="nil"/>
                <w:bottom w:val="nil"/>
                <w:right w:val="nil"/>
                <w:between w:val="nil"/>
              </w:pBdr>
              <w:spacing w:before="111" w:after="0" w:line="240" w:lineRule="auto"/>
              <w:ind w:left="59"/>
              <w:jc w:val="center"/>
              <w:rPr>
                <w:rFonts w:asciiTheme="majorBidi" w:hAnsiTheme="majorBidi" w:cstheme="majorBidi"/>
                <w:sz w:val="20"/>
                <w:szCs w:val="20"/>
              </w:rPr>
            </w:pPr>
            <w:r w:rsidRPr="00150938">
              <w:rPr>
                <w:rFonts w:asciiTheme="majorBidi" w:hAnsiTheme="majorBidi" w:cstheme="majorBidi"/>
                <w:sz w:val="20"/>
                <w:szCs w:val="20"/>
              </w:rPr>
              <w:t>LDR</w:t>
            </w:r>
          </w:p>
        </w:tc>
        <w:tc>
          <w:tcPr>
            <w:tcW w:w="1165" w:type="dxa"/>
            <w:shd w:val="clear" w:color="auto" w:fill="auto"/>
            <w:vAlign w:val="center"/>
          </w:tcPr>
          <w:p w14:paraId="2B4BADCC" w14:textId="77777777" w:rsidR="00150938" w:rsidRPr="00150938" w:rsidRDefault="00150938" w:rsidP="00F70487">
            <w:pPr>
              <w:widowControl w:val="0"/>
              <w:pBdr>
                <w:top w:val="nil"/>
                <w:left w:val="nil"/>
                <w:bottom w:val="nil"/>
                <w:right w:val="nil"/>
                <w:between w:val="nil"/>
              </w:pBdr>
              <w:spacing w:before="111" w:after="0" w:line="240" w:lineRule="auto"/>
              <w:ind w:right="59"/>
              <w:jc w:val="center"/>
              <w:rPr>
                <w:rFonts w:asciiTheme="majorBidi" w:hAnsiTheme="majorBidi" w:cstheme="majorBidi"/>
                <w:sz w:val="20"/>
                <w:szCs w:val="20"/>
              </w:rPr>
            </w:pPr>
            <w:r w:rsidRPr="00150938">
              <w:rPr>
                <w:rFonts w:asciiTheme="majorBidi" w:hAnsiTheme="majorBidi" w:cstheme="majorBidi"/>
                <w:sz w:val="20"/>
                <w:szCs w:val="20"/>
              </w:rPr>
              <w:t>.060</w:t>
            </w:r>
          </w:p>
        </w:tc>
        <w:tc>
          <w:tcPr>
            <w:tcW w:w="1134" w:type="dxa"/>
            <w:shd w:val="clear" w:color="auto" w:fill="auto"/>
            <w:vAlign w:val="center"/>
          </w:tcPr>
          <w:p w14:paraId="11574208" w14:textId="77777777" w:rsidR="00150938" w:rsidRPr="00150938" w:rsidRDefault="00150938" w:rsidP="00F70487">
            <w:pPr>
              <w:widowControl w:val="0"/>
              <w:pBdr>
                <w:top w:val="nil"/>
                <w:left w:val="nil"/>
                <w:bottom w:val="nil"/>
                <w:right w:val="nil"/>
                <w:between w:val="nil"/>
              </w:pBdr>
              <w:spacing w:before="111" w:after="0" w:line="240" w:lineRule="auto"/>
              <w:ind w:right="58"/>
              <w:jc w:val="center"/>
              <w:rPr>
                <w:rFonts w:asciiTheme="majorBidi" w:hAnsiTheme="majorBidi" w:cstheme="majorBidi"/>
                <w:sz w:val="20"/>
                <w:szCs w:val="20"/>
              </w:rPr>
            </w:pPr>
            <w:r w:rsidRPr="00150938">
              <w:rPr>
                <w:rFonts w:asciiTheme="majorBidi" w:hAnsiTheme="majorBidi" w:cstheme="majorBidi"/>
                <w:sz w:val="20"/>
                <w:szCs w:val="20"/>
              </w:rPr>
              <w:t>,015</w:t>
            </w:r>
          </w:p>
        </w:tc>
        <w:tc>
          <w:tcPr>
            <w:tcW w:w="1856" w:type="dxa"/>
            <w:shd w:val="clear" w:color="auto" w:fill="auto"/>
            <w:vAlign w:val="center"/>
          </w:tcPr>
          <w:p w14:paraId="5B8CD4FE" w14:textId="77777777" w:rsidR="00150938" w:rsidRPr="00150938" w:rsidRDefault="00150938" w:rsidP="00F70487">
            <w:pPr>
              <w:widowControl w:val="0"/>
              <w:pBdr>
                <w:top w:val="nil"/>
                <w:left w:val="nil"/>
                <w:bottom w:val="nil"/>
                <w:right w:val="nil"/>
                <w:between w:val="nil"/>
              </w:pBdr>
              <w:spacing w:before="111" w:after="0" w:line="240" w:lineRule="auto"/>
              <w:ind w:right="59"/>
              <w:jc w:val="center"/>
              <w:rPr>
                <w:rFonts w:asciiTheme="majorBidi" w:hAnsiTheme="majorBidi" w:cstheme="majorBidi"/>
                <w:sz w:val="20"/>
                <w:szCs w:val="20"/>
              </w:rPr>
            </w:pPr>
            <w:r w:rsidRPr="00150938">
              <w:rPr>
                <w:rFonts w:asciiTheme="majorBidi" w:hAnsiTheme="majorBidi" w:cstheme="majorBidi"/>
                <w:sz w:val="20"/>
                <w:szCs w:val="20"/>
              </w:rPr>
              <w:t>,748</w:t>
            </w:r>
          </w:p>
        </w:tc>
        <w:tc>
          <w:tcPr>
            <w:tcW w:w="1121" w:type="dxa"/>
            <w:shd w:val="clear" w:color="auto" w:fill="auto"/>
            <w:vAlign w:val="center"/>
          </w:tcPr>
          <w:p w14:paraId="44D3F4EE" w14:textId="77777777" w:rsidR="00150938" w:rsidRPr="00150938" w:rsidRDefault="00150938" w:rsidP="00F70487">
            <w:pPr>
              <w:widowControl w:val="0"/>
              <w:pBdr>
                <w:top w:val="nil"/>
                <w:left w:val="nil"/>
                <w:bottom w:val="nil"/>
                <w:right w:val="nil"/>
                <w:between w:val="nil"/>
              </w:pBdr>
              <w:spacing w:before="111" w:after="0" w:line="240" w:lineRule="auto"/>
              <w:ind w:right="60"/>
              <w:jc w:val="center"/>
              <w:rPr>
                <w:rFonts w:asciiTheme="majorBidi" w:hAnsiTheme="majorBidi" w:cstheme="majorBidi"/>
                <w:sz w:val="20"/>
                <w:szCs w:val="20"/>
              </w:rPr>
            </w:pPr>
            <w:r w:rsidRPr="00150938">
              <w:rPr>
                <w:rFonts w:asciiTheme="majorBidi" w:hAnsiTheme="majorBidi" w:cstheme="majorBidi"/>
                <w:sz w:val="20"/>
                <w:szCs w:val="20"/>
              </w:rPr>
              <w:t>4,066</w:t>
            </w:r>
          </w:p>
        </w:tc>
        <w:tc>
          <w:tcPr>
            <w:tcW w:w="1275" w:type="dxa"/>
            <w:shd w:val="clear" w:color="auto" w:fill="auto"/>
            <w:vAlign w:val="center"/>
          </w:tcPr>
          <w:p w14:paraId="12683471" w14:textId="77777777" w:rsidR="00150938" w:rsidRPr="00150938" w:rsidRDefault="00150938" w:rsidP="00F70487">
            <w:pPr>
              <w:widowControl w:val="0"/>
              <w:pBdr>
                <w:top w:val="nil"/>
                <w:left w:val="nil"/>
                <w:bottom w:val="nil"/>
                <w:right w:val="nil"/>
                <w:between w:val="nil"/>
              </w:pBdr>
              <w:spacing w:before="111" w:after="0" w:line="240" w:lineRule="auto"/>
              <w:ind w:right="60"/>
              <w:jc w:val="center"/>
              <w:rPr>
                <w:rFonts w:asciiTheme="majorBidi" w:hAnsiTheme="majorBidi" w:cstheme="majorBidi"/>
                <w:sz w:val="20"/>
                <w:szCs w:val="20"/>
              </w:rPr>
            </w:pPr>
            <w:r w:rsidRPr="00150938">
              <w:rPr>
                <w:rFonts w:asciiTheme="majorBidi" w:hAnsiTheme="majorBidi" w:cstheme="majorBidi"/>
                <w:sz w:val="20"/>
                <w:szCs w:val="20"/>
              </w:rPr>
              <w:t>,001</w:t>
            </w:r>
          </w:p>
        </w:tc>
      </w:tr>
    </w:tbl>
    <w:p w14:paraId="0A5F0C9F" w14:textId="77777777" w:rsidR="00150938" w:rsidRPr="00150938" w:rsidRDefault="00150938" w:rsidP="00150938">
      <w:pPr>
        <w:spacing w:before="111" w:after="0" w:line="240" w:lineRule="auto"/>
        <w:ind w:left="648"/>
        <w:jc w:val="both"/>
        <w:rPr>
          <w:rFonts w:asciiTheme="majorBidi" w:hAnsiTheme="majorBidi" w:cstheme="majorBidi"/>
          <w:sz w:val="20"/>
          <w:szCs w:val="20"/>
        </w:rPr>
      </w:pPr>
      <w:r w:rsidRPr="00150938">
        <w:rPr>
          <w:rFonts w:asciiTheme="majorBidi" w:hAnsiTheme="majorBidi" w:cstheme="majorBidi"/>
          <w:color w:val="000104"/>
          <w:sz w:val="20"/>
          <w:szCs w:val="20"/>
        </w:rPr>
        <w:t>a. Dependent Variable: ROA</w:t>
      </w:r>
    </w:p>
    <w:p w14:paraId="7B73EDF3" w14:textId="77777777" w:rsidR="00150938" w:rsidRPr="00150938" w:rsidRDefault="00150938" w:rsidP="00150938">
      <w:pPr>
        <w:widowControl w:val="0"/>
        <w:pBdr>
          <w:top w:val="nil"/>
          <w:left w:val="nil"/>
          <w:bottom w:val="nil"/>
          <w:right w:val="nil"/>
          <w:between w:val="nil"/>
        </w:pBdr>
        <w:spacing w:before="124" w:after="0" w:line="240" w:lineRule="auto"/>
        <w:ind w:left="588"/>
        <w:jc w:val="both"/>
        <w:rPr>
          <w:rFonts w:asciiTheme="majorBidi" w:hAnsiTheme="majorBidi" w:cstheme="majorBidi"/>
          <w:color w:val="000000"/>
          <w:sz w:val="20"/>
          <w:szCs w:val="20"/>
        </w:rPr>
      </w:pPr>
      <w:r w:rsidRPr="00150938">
        <w:rPr>
          <w:rFonts w:asciiTheme="majorBidi" w:hAnsiTheme="majorBidi" w:cstheme="majorBidi"/>
          <w:color w:val="000000"/>
          <w:sz w:val="20"/>
          <w:szCs w:val="20"/>
        </w:rPr>
        <w:t>Source: Processed results of SPSS 24.2021</w:t>
      </w:r>
    </w:p>
    <w:p w14:paraId="297C7A57" w14:textId="77777777" w:rsidR="00150938" w:rsidRPr="00150938" w:rsidRDefault="00150938" w:rsidP="00150938">
      <w:pPr>
        <w:widowControl w:val="0"/>
        <w:pBdr>
          <w:top w:val="nil"/>
          <w:left w:val="nil"/>
          <w:bottom w:val="nil"/>
          <w:right w:val="nil"/>
          <w:between w:val="nil"/>
        </w:pBdr>
        <w:spacing w:before="125" w:after="0" w:line="240" w:lineRule="auto"/>
        <w:ind w:right="26" w:firstLine="709"/>
        <w:jc w:val="both"/>
        <w:rPr>
          <w:rFonts w:asciiTheme="majorBidi" w:hAnsiTheme="majorBidi" w:cstheme="majorBidi"/>
          <w:color w:val="000000"/>
          <w:sz w:val="20"/>
          <w:szCs w:val="20"/>
        </w:rPr>
      </w:pPr>
      <w:r w:rsidRPr="00150938">
        <w:rPr>
          <w:rFonts w:asciiTheme="majorBidi" w:hAnsiTheme="majorBidi" w:cstheme="majorBidi"/>
          <w:color w:val="000000"/>
          <w:sz w:val="20"/>
          <w:szCs w:val="20"/>
        </w:rPr>
        <w:t>Based on the table above, the regression equation can be written as follows:</w:t>
      </w:r>
    </w:p>
    <w:p w14:paraId="276E2736" w14:textId="77777777" w:rsidR="00150938" w:rsidRPr="00150938" w:rsidRDefault="00150938" w:rsidP="00150938">
      <w:pPr>
        <w:pStyle w:val="Heading1"/>
        <w:spacing w:before="4" w:line="240" w:lineRule="auto"/>
        <w:ind w:left="3545"/>
        <w:jc w:val="both"/>
        <w:rPr>
          <w:rFonts w:asciiTheme="majorBidi" w:hAnsiTheme="majorBidi" w:cstheme="majorBidi"/>
        </w:rPr>
      </w:pPr>
      <w:r w:rsidRPr="00150938">
        <w:rPr>
          <w:rFonts w:asciiTheme="majorBidi" w:hAnsiTheme="majorBidi" w:cstheme="majorBidi"/>
        </w:rPr>
        <w:t>Y = -4.197 + 0.060X</w:t>
      </w:r>
    </w:p>
    <w:p w14:paraId="47E300A8" w14:textId="77777777" w:rsidR="00150938" w:rsidRPr="00150938" w:rsidRDefault="00150938" w:rsidP="00150938">
      <w:pPr>
        <w:widowControl w:val="0"/>
        <w:pBdr>
          <w:top w:val="nil"/>
          <w:left w:val="nil"/>
          <w:bottom w:val="nil"/>
          <w:right w:val="nil"/>
          <w:between w:val="nil"/>
        </w:pBdr>
        <w:spacing w:before="126" w:after="0" w:line="240" w:lineRule="auto"/>
        <w:ind w:firstLine="720"/>
        <w:jc w:val="both"/>
        <w:rPr>
          <w:rFonts w:asciiTheme="majorBidi" w:hAnsiTheme="majorBidi" w:cstheme="majorBidi"/>
          <w:color w:val="000000"/>
          <w:sz w:val="20"/>
          <w:szCs w:val="20"/>
        </w:rPr>
      </w:pPr>
      <w:r w:rsidRPr="00150938">
        <w:rPr>
          <w:rFonts w:asciiTheme="majorBidi" w:hAnsiTheme="majorBidi" w:cstheme="majorBidi"/>
          <w:color w:val="000000"/>
          <w:sz w:val="20"/>
          <w:szCs w:val="20"/>
        </w:rPr>
        <w:t>The explanation is as follows:</w:t>
      </w:r>
    </w:p>
    <w:p w14:paraId="6A9D1627" w14:textId="77777777" w:rsidR="00150938" w:rsidRPr="00150938" w:rsidRDefault="00150938" w:rsidP="00150938">
      <w:pPr>
        <w:pStyle w:val="ListParagraph"/>
        <w:widowControl w:val="0"/>
        <w:numPr>
          <w:ilvl w:val="0"/>
          <w:numId w:val="37"/>
        </w:numPr>
        <w:pBdr>
          <w:top w:val="nil"/>
          <w:left w:val="nil"/>
          <w:bottom w:val="nil"/>
          <w:right w:val="nil"/>
          <w:between w:val="nil"/>
        </w:pBdr>
        <w:tabs>
          <w:tab w:val="left" w:pos="819"/>
        </w:tabs>
        <w:spacing w:before="122" w:after="0" w:line="240" w:lineRule="auto"/>
        <w:ind w:right="26"/>
        <w:jc w:val="both"/>
        <w:rPr>
          <w:rFonts w:asciiTheme="majorBidi" w:hAnsiTheme="majorBidi" w:cstheme="majorBidi"/>
          <w:color w:val="000000"/>
          <w:sz w:val="20"/>
          <w:szCs w:val="20"/>
        </w:rPr>
      </w:pPr>
      <w:r w:rsidRPr="00150938">
        <w:rPr>
          <w:rFonts w:asciiTheme="majorBidi" w:hAnsiTheme="majorBidi" w:cstheme="majorBidi"/>
          <w:color w:val="000000"/>
          <w:sz w:val="20"/>
          <w:szCs w:val="20"/>
        </w:rPr>
        <w:t>A constant value of -4.197 states that if the Loan to Deposit Ratio (LDR) is zero, then the constant value is negative indicating a decrease in Return On Assets (ROA) of -4.197.</w:t>
      </w:r>
    </w:p>
    <w:p w14:paraId="2767D04E" w14:textId="77777777" w:rsidR="00150938" w:rsidRPr="00150938" w:rsidRDefault="00150938" w:rsidP="00150938">
      <w:pPr>
        <w:pStyle w:val="ListParagraph"/>
        <w:widowControl w:val="0"/>
        <w:numPr>
          <w:ilvl w:val="0"/>
          <w:numId w:val="37"/>
        </w:numPr>
        <w:pBdr>
          <w:top w:val="nil"/>
          <w:left w:val="nil"/>
          <w:bottom w:val="nil"/>
          <w:right w:val="nil"/>
          <w:between w:val="nil"/>
        </w:pBdr>
        <w:tabs>
          <w:tab w:val="left" w:pos="831"/>
        </w:tabs>
        <w:spacing w:after="0" w:line="240" w:lineRule="auto"/>
        <w:ind w:right="26"/>
        <w:jc w:val="both"/>
        <w:rPr>
          <w:rFonts w:asciiTheme="majorBidi" w:hAnsiTheme="majorBidi" w:cstheme="majorBidi"/>
          <w:color w:val="000000"/>
          <w:sz w:val="20"/>
          <w:szCs w:val="20"/>
        </w:rPr>
      </w:pPr>
      <w:r w:rsidRPr="00150938">
        <w:rPr>
          <w:rFonts w:asciiTheme="majorBidi" w:hAnsiTheme="majorBidi" w:cstheme="majorBidi"/>
          <w:color w:val="000000"/>
          <w:sz w:val="20"/>
          <w:szCs w:val="20"/>
        </w:rPr>
        <w:t>The regression coefficient X of 0.060 states that for every additional 1 unit of Loan to Deposit Ratio (LDR), the value of Return On Assets (ROA) increases by 0.060.</w:t>
      </w:r>
    </w:p>
    <w:p w14:paraId="54AEF6A8" w14:textId="77777777" w:rsidR="00150938" w:rsidRPr="00150938" w:rsidRDefault="00150938" w:rsidP="00150938">
      <w:pPr>
        <w:widowControl w:val="0"/>
        <w:pBdr>
          <w:top w:val="nil"/>
          <w:left w:val="nil"/>
          <w:bottom w:val="nil"/>
          <w:right w:val="nil"/>
          <w:between w:val="nil"/>
        </w:pBdr>
        <w:tabs>
          <w:tab w:val="left" w:pos="831"/>
        </w:tabs>
        <w:spacing w:after="0" w:line="240" w:lineRule="auto"/>
        <w:ind w:left="588" w:right="1200"/>
        <w:jc w:val="both"/>
        <w:rPr>
          <w:rFonts w:asciiTheme="majorBidi" w:hAnsiTheme="majorBidi" w:cstheme="majorBidi"/>
          <w:color w:val="000000"/>
          <w:sz w:val="20"/>
          <w:szCs w:val="20"/>
        </w:rPr>
      </w:pPr>
    </w:p>
    <w:p w14:paraId="57397F52" w14:textId="3D21C7FF" w:rsidR="00150938" w:rsidRPr="00150938" w:rsidRDefault="00150938" w:rsidP="00150938">
      <w:pPr>
        <w:spacing w:after="0" w:line="240" w:lineRule="auto"/>
        <w:jc w:val="both"/>
        <w:rPr>
          <w:rFonts w:asciiTheme="majorBidi" w:hAnsiTheme="majorBidi" w:cstheme="majorBidi"/>
          <w:b/>
          <w:bCs/>
          <w:sz w:val="20"/>
          <w:szCs w:val="20"/>
        </w:rPr>
      </w:pPr>
      <w:r w:rsidRPr="00150938">
        <w:rPr>
          <w:rFonts w:asciiTheme="majorBidi" w:hAnsiTheme="majorBidi" w:cstheme="majorBidi"/>
          <w:b/>
          <w:bCs/>
          <w:sz w:val="20"/>
          <w:szCs w:val="20"/>
        </w:rPr>
        <w:t>Determination Coefficient Test (R</w:t>
      </w:r>
      <w:r w:rsidRPr="00150938">
        <w:rPr>
          <w:rFonts w:asciiTheme="majorBidi" w:hAnsiTheme="majorBidi" w:cstheme="majorBidi"/>
          <w:b/>
          <w:bCs/>
          <w:sz w:val="20"/>
          <w:szCs w:val="20"/>
          <w:vertAlign w:val="superscript"/>
        </w:rPr>
        <w:t>2</w:t>
      </w:r>
      <w:r w:rsidRPr="00150938">
        <w:rPr>
          <w:rFonts w:asciiTheme="majorBidi" w:hAnsiTheme="majorBidi" w:cstheme="majorBidi"/>
          <w:b/>
          <w:bCs/>
          <w:sz w:val="20"/>
          <w:szCs w:val="20"/>
        </w:rPr>
        <w:t>)</w:t>
      </w:r>
    </w:p>
    <w:p w14:paraId="2DDBBB90" w14:textId="53D64308" w:rsidR="00090069" w:rsidRPr="00150938" w:rsidRDefault="00150938" w:rsidP="00150938">
      <w:pPr>
        <w:spacing w:after="0" w:line="240" w:lineRule="auto"/>
        <w:ind w:firstLine="360"/>
        <w:jc w:val="both"/>
        <w:rPr>
          <w:rFonts w:asciiTheme="majorBidi" w:hAnsiTheme="majorBidi" w:cstheme="majorBidi"/>
          <w:sz w:val="20"/>
          <w:szCs w:val="20"/>
        </w:rPr>
      </w:pPr>
      <w:r w:rsidRPr="00150938">
        <w:rPr>
          <w:rFonts w:asciiTheme="majorBidi" w:hAnsiTheme="majorBidi" w:cstheme="majorBidi"/>
          <w:sz w:val="20"/>
          <w:szCs w:val="20"/>
        </w:rPr>
        <w:t>The coefficient of determination shows the ability of the model to explain the variation of the independent variable to the dependent variable. The R square value ranges from 0 to 1. The coefficient of determination or R² is 0.560 which indicates that the regression model in this study is able to explain the effect of the independent variable (Loan to Deposit Ratio) on the dependent variable (Return On Assets) which is equal to 0.560 or 56% while the remaining 0.440 or 44% is explained by other independent variables outside of this study.</w:t>
      </w:r>
    </w:p>
    <w:p w14:paraId="46BB0D62" w14:textId="77777777" w:rsidR="00E67919" w:rsidRPr="00FF2BE7" w:rsidRDefault="00E67919" w:rsidP="00E67919">
      <w:pPr>
        <w:spacing w:after="0"/>
        <w:jc w:val="both"/>
        <w:rPr>
          <w:rFonts w:ascii="Times New Roman" w:hAnsi="Times New Roman" w:cs="Times New Roman"/>
          <w:sz w:val="20"/>
          <w:szCs w:val="20"/>
        </w:rPr>
      </w:pPr>
    </w:p>
    <w:p w14:paraId="12BD0372" w14:textId="77777777" w:rsidR="007C6543" w:rsidRPr="00803B7C" w:rsidRDefault="007C6543" w:rsidP="007C6543">
      <w:pPr>
        <w:jc w:val="both"/>
        <w:rPr>
          <w:rFonts w:ascii="Times New Roman" w:hAnsi="Times New Roman" w:cs="Times New Roman"/>
          <w:b/>
          <w:bCs/>
          <w:sz w:val="20"/>
          <w:szCs w:val="20"/>
        </w:rPr>
      </w:pPr>
      <w:r>
        <w:rPr>
          <w:rFonts w:ascii="Times New Roman" w:hAnsi="Times New Roman" w:cs="Times New Roman"/>
          <w:b/>
          <w:bCs/>
          <w:sz w:val="20"/>
          <w:szCs w:val="20"/>
        </w:rPr>
        <w:t xml:space="preserve">5. </w:t>
      </w:r>
      <w:r w:rsidRPr="00803B7C">
        <w:rPr>
          <w:rFonts w:ascii="Times New Roman" w:hAnsi="Times New Roman" w:cs="Times New Roman"/>
          <w:b/>
          <w:bCs/>
          <w:sz w:val="20"/>
          <w:szCs w:val="20"/>
        </w:rPr>
        <w:t>CONCLUSION</w:t>
      </w:r>
    </w:p>
    <w:p w14:paraId="231ED370" w14:textId="75DFEA8B" w:rsidR="004E50CE" w:rsidRDefault="00150938" w:rsidP="004E50CE">
      <w:pPr>
        <w:ind w:firstLine="360"/>
        <w:jc w:val="both"/>
        <w:rPr>
          <w:rFonts w:ascii="Times New Roman" w:hAnsi="Times New Roman" w:cs="Times New Roman"/>
          <w:sz w:val="20"/>
          <w:szCs w:val="20"/>
        </w:rPr>
      </w:pPr>
      <w:r w:rsidRPr="00150938">
        <w:rPr>
          <w:rFonts w:ascii="Times New Roman" w:hAnsi="Times New Roman" w:cs="Times New Roman"/>
          <w:sz w:val="20"/>
          <w:szCs w:val="20"/>
        </w:rPr>
        <w:t>The Loan to Deposit Ratio (LDR) has a significant effect on the Return On Assets (ROA) of banking companies listed on the Indonesia Stock Exchange for the 2015-2019 period. Judging from the results of the Pearson product moment correlation analysis, which is equal to 0.748, it is known that the relationship between Loan to Deposit Ratio (LDR) and Return On Assets (ROA) has a strong relationship. The regression equation Y = -4.197 + 0.060X means that a constant value of -4.197 states that if the value of the Loan to Deposit Ratio (LDR) is equal to zero, then the value of the constant is negative indicating a decrease in Return On Assets (ROA) of -4.197. The regression coefficient X of 0.060 states that for every additional 1 unit of Loan to Deposit Ratio (LDR), the value of Return On Assets (ROA) increases by 0.060. While the results of simple linear regression analysis show a coefficient of determination (R²) of 0.560 which indicates that the regression model in this study is able to explain the effect of the independent variable Loan to Deposit ratio (LDR) on the dependent variable Return On Assets (ROA) of 56%. So it can be stated that the Loan to Deposit Ratio (LDR) variable has a significant effect on Return On Assets (ROA) in Banking Companies listed on the Indonesia Stock Exchange for the 2015-2019 period.</w:t>
      </w:r>
    </w:p>
    <w:p w14:paraId="54B30E6C" w14:textId="2264D802" w:rsidR="003A54FD" w:rsidRDefault="009B4B0B" w:rsidP="009B4B0B">
      <w:pPr>
        <w:jc w:val="both"/>
        <w:rPr>
          <w:rFonts w:ascii="Times New Roman" w:hAnsi="Times New Roman" w:cs="Times New Roman"/>
          <w:b/>
          <w:bCs/>
          <w:sz w:val="20"/>
          <w:szCs w:val="20"/>
        </w:rPr>
      </w:pPr>
      <w:r w:rsidRPr="009B4B0B">
        <w:rPr>
          <w:rFonts w:ascii="Times New Roman" w:hAnsi="Times New Roman" w:cs="Times New Roman"/>
          <w:b/>
          <w:bCs/>
          <w:sz w:val="20"/>
          <w:szCs w:val="20"/>
        </w:rPr>
        <w:t>A</w:t>
      </w:r>
      <w:r>
        <w:rPr>
          <w:rFonts w:ascii="Times New Roman" w:hAnsi="Times New Roman" w:cs="Times New Roman"/>
          <w:b/>
          <w:bCs/>
          <w:sz w:val="20"/>
          <w:szCs w:val="20"/>
        </w:rPr>
        <w:t>ck</w:t>
      </w:r>
      <w:r w:rsidRPr="009B4B0B">
        <w:rPr>
          <w:rFonts w:ascii="Times New Roman" w:hAnsi="Times New Roman" w:cs="Times New Roman"/>
          <w:b/>
          <w:bCs/>
          <w:sz w:val="20"/>
          <w:szCs w:val="20"/>
        </w:rPr>
        <w:t>nowled</w:t>
      </w:r>
      <w:r>
        <w:rPr>
          <w:rFonts w:ascii="Times New Roman" w:hAnsi="Times New Roman" w:cs="Times New Roman"/>
          <w:b/>
          <w:bCs/>
          <w:sz w:val="20"/>
          <w:szCs w:val="20"/>
        </w:rPr>
        <w:t>ge</w:t>
      </w:r>
      <w:r w:rsidRPr="009B4B0B">
        <w:rPr>
          <w:rFonts w:ascii="Times New Roman" w:hAnsi="Times New Roman" w:cs="Times New Roman"/>
          <w:b/>
          <w:bCs/>
          <w:sz w:val="20"/>
          <w:szCs w:val="20"/>
        </w:rPr>
        <w:t>ments</w:t>
      </w:r>
    </w:p>
    <w:p w14:paraId="18BE41D4" w14:textId="2D4EE4C3" w:rsidR="004E50CE" w:rsidRPr="004E50CE" w:rsidRDefault="00150938" w:rsidP="004E50CE">
      <w:pPr>
        <w:ind w:firstLine="360"/>
        <w:jc w:val="both"/>
        <w:rPr>
          <w:rFonts w:ascii="Times New Roman" w:hAnsi="Times New Roman" w:cs="Times New Roman"/>
          <w:sz w:val="20"/>
          <w:szCs w:val="20"/>
        </w:rPr>
      </w:pPr>
      <w:r w:rsidRPr="00150938">
        <w:rPr>
          <w:rFonts w:ascii="Times New Roman" w:hAnsi="Times New Roman" w:cs="Times New Roman"/>
          <w:sz w:val="20"/>
          <w:szCs w:val="20"/>
        </w:rPr>
        <w:t>Thank you to Universitas Global Jakarta and all the author team to do the research together. Hope all the research result can give the implication both theory and managerial implications.</w:t>
      </w:r>
    </w:p>
    <w:p w14:paraId="24EC8FBC" w14:textId="4863FC82" w:rsidR="007C6543" w:rsidRPr="00803B7C" w:rsidRDefault="007C6543" w:rsidP="007C6543">
      <w:pPr>
        <w:pStyle w:val="NormalWeb"/>
        <w:rPr>
          <w:b/>
          <w:bCs/>
          <w:sz w:val="20"/>
          <w:szCs w:val="20"/>
        </w:rPr>
      </w:pPr>
      <w:r w:rsidRPr="00803B7C">
        <w:rPr>
          <w:b/>
          <w:bCs/>
          <w:sz w:val="20"/>
          <w:szCs w:val="20"/>
        </w:rPr>
        <w:lastRenderedPageBreak/>
        <w:t>REFERENCE</w:t>
      </w:r>
      <w:r w:rsidR="004E50CE">
        <w:rPr>
          <w:b/>
          <w:bCs/>
          <w:sz w:val="20"/>
          <w:szCs w:val="20"/>
        </w:rPr>
        <w:t>S</w:t>
      </w:r>
    </w:p>
    <w:bookmarkEnd w:id="0"/>
    <w:p w14:paraId="54C817BC" w14:textId="431AE502" w:rsidR="00150938" w:rsidRDefault="00150938" w:rsidP="006B6805">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150938">
        <w:rPr>
          <w:rFonts w:asciiTheme="majorBidi" w:hAnsiTheme="majorBidi" w:cstheme="majorBidi"/>
          <w:noProof/>
          <w:sz w:val="20"/>
          <w:szCs w:val="20"/>
        </w:rPr>
        <w:t>AM Lutfi, H Erlangga, N Nurjaya, S Priadana, DA Dwiwarman. (2021)</w:t>
      </w:r>
      <w:r w:rsidR="006B6805">
        <w:rPr>
          <w:rFonts w:asciiTheme="majorBidi" w:hAnsiTheme="majorBidi" w:cstheme="majorBidi"/>
          <w:noProof/>
          <w:sz w:val="20"/>
          <w:szCs w:val="20"/>
        </w:rPr>
        <w:t xml:space="preserve"> “</w:t>
      </w:r>
      <w:r w:rsidRPr="00150938">
        <w:rPr>
          <w:rFonts w:asciiTheme="majorBidi" w:hAnsiTheme="majorBidi" w:cstheme="majorBidi"/>
          <w:noProof/>
          <w:sz w:val="20"/>
          <w:szCs w:val="20"/>
        </w:rPr>
        <w:t>Pengaruh Capital Adequacy Ratio Dan BOPO Ratio Terhadap Return on Asset Pada PT. Bank Muamalat Indonesia, Tbk Periode 2010-2019</w:t>
      </w:r>
      <w:r w:rsidR="006B6805">
        <w:rPr>
          <w:rFonts w:asciiTheme="majorBidi" w:hAnsiTheme="majorBidi" w:cstheme="majorBidi"/>
          <w:noProof/>
          <w:sz w:val="20"/>
          <w:szCs w:val="20"/>
        </w:rPr>
        <w:t>”</w:t>
      </w:r>
      <w:r w:rsidRPr="00150938">
        <w:rPr>
          <w:rFonts w:asciiTheme="majorBidi" w:hAnsiTheme="majorBidi" w:cstheme="majorBidi"/>
          <w:noProof/>
          <w:sz w:val="20"/>
          <w:szCs w:val="20"/>
        </w:rPr>
        <w:t xml:space="preserve"> Jurnal Ekonomi Efektif Vol.3, No.3.</w:t>
      </w:r>
    </w:p>
    <w:p w14:paraId="7D87B055" w14:textId="3FCA6258" w:rsidR="003F7FF5" w:rsidRDefault="003F7FF5" w:rsidP="003F7FF5">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3F7FF5">
        <w:rPr>
          <w:rFonts w:asciiTheme="majorBidi" w:hAnsiTheme="majorBidi" w:cstheme="majorBidi"/>
          <w:noProof/>
          <w:sz w:val="20"/>
          <w:szCs w:val="20"/>
        </w:rPr>
        <w:t>Andriyani, Ima Et al. (2023) Effect of Financial Ratios on Firm Value with Profit Growth As</w:t>
      </w:r>
      <w:r>
        <w:rPr>
          <w:rFonts w:asciiTheme="majorBidi" w:hAnsiTheme="majorBidi" w:cstheme="majorBidi"/>
          <w:noProof/>
          <w:sz w:val="20"/>
          <w:szCs w:val="20"/>
        </w:rPr>
        <w:t xml:space="preserve"> </w:t>
      </w:r>
      <w:r w:rsidRPr="003F7FF5">
        <w:rPr>
          <w:rFonts w:asciiTheme="majorBidi" w:hAnsiTheme="majorBidi" w:cstheme="majorBidi"/>
          <w:noProof/>
          <w:sz w:val="20"/>
          <w:szCs w:val="20"/>
        </w:rPr>
        <w:t>Moderating Variable On Acquisition Companies in Indonesia. Neo Journal of Economy and Social Humanities (JENESH) 2(3). 204-215</w:t>
      </w:r>
    </w:p>
    <w:p w14:paraId="5CE91D70" w14:textId="43A96D4D" w:rsidR="00150938" w:rsidRDefault="00150938" w:rsidP="006B6805">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150938">
        <w:rPr>
          <w:rFonts w:asciiTheme="majorBidi" w:hAnsiTheme="majorBidi" w:cstheme="majorBidi"/>
          <w:noProof/>
          <w:sz w:val="20"/>
          <w:szCs w:val="20"/>
        </w:rPr>
        <w:t>Bernardin, Deden Edwar Yokeu. (2016)</w:t>
      </w:r>
      <w:r w:rsidR="006B6805">
        <w:rPr>
          <w:rFonts w:asciiTheme="majorBidi" w:hAnsiTheme="majorBidi" w:cstheme="majorBidi"/>
          <w:noProof/>
          <w:sz w:val="20"/>
          <w:szCs w:val="20"/>
        </w:rPr>
        <w:t xml:space="preserve"> “</w:t>
      </w:r>
      <w:r w:rsidRPr="00150938">
        <w:rPr>
          <w:rFonts w:asciiTheme="majorBidi" w:hAnsiTheme="majorBidi" w:cstheme="majorBidi"/>
          <w:noProof/>
          <w:sz w:val="20"/>
          <w:szCs w:val="20"/>
        </w:rPr>
        <w:t>Pengaruh CAR dan LDR Terhadap Return on Assets</w:t>
      </w:r>
      <w:r w:rsidR="006B6805">
        <w:rPr>
          <w:rFonts w:asciiTheme="majorBidi" w:hAnsiTheme="majorBidi" w:cstheme="majorBidi"/>
          <w:noProof/>
          <w:sz w:val="20"/>
          <w:szCs w:val="20"/>
        </w:rPr>
        <w:t>”</w:t>
      </w:r>
      <w:r w:rsidRPr="00150938">
        <w:rPr>
          <w:rFonts w:asciiTheme="majorBidi" w:hAnsiTheme="majorBidi" w:cstheme="majorBidi"/>
          <w:noProof/>
          <w:sz w:val="20"/>
          <w:szCs w:val="20"/>
        </w:rPr>
        <w:t xml:space="preserve"> Ecomedica, Vol. IV, No.2. ISSN: 2355-0295, e- ISSN: 2528-2255.</w:t>
      </w:r>
    </w:p>
    <w:p w14:paraId="3738C653" w14:textId="1EA95CD6" w:rsidR="00150938" w:rsidRDefault="00150938" w:rsidP="006B6805">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150938">
        <w:rPr>
          <w:rFonts w:asciiTheme="majorBidi" w:hAnsiTheme="majorBidi" w:cstheme="majorBidi"/>
          <w:noProof/>
          <w:sz w:val="20"/>
          <w:szCs w:val="20"/>
        </w:rPr>
        <w:t>Dendawijaya Lukman. (2003)</w:t>
      </w:r>
      <w:r w:rsidR="006B6805">
        <w:rPr>
          <w:rFonts w:asciiTheme="majorBidi" w:hAnsiTheme="majorBidi" w:cstheme="majorBidi"/>
          <w:noProof/>
          <w:sz w:val="20"/>
          <w:szCs w:val="20"/>
        </w:rPr>
        <w:t xml:space="preserve"> “</w:t>
      </w:r>
      <w:r w:rsidRPr="00150938">
        <w:rPr>
          <w:rFonts w:asciiTheme="majorBidi" w:hAnsiTheme="majorBidi" w:cstheme="majorBidi"/>
          <w:noProof/>
          <w:sz w:val="20"/>
          <w:szCs w:val="20"/>
        </w:rPr>
        <w:t xml:space="preserve">Manajemen Perbankan. Edisi </w:t>
      </w:r>
      <w:r w:rsidR="006B6805">
        <w:rPr>
          <w:rFonts w:asciiTheme="majorBidi" w:hAnsiTheme="majorBidi" w:cstheme="majorBidi"/>
          <w:noProof/>
          <w:sz w:val="20"/>
          <w:szCs w:val="20"/>
        </w:rPr>
        <w:t>K</w:t>
      </w:r>
      <w:r w:rsidRPr="00150938">
        <w:rPr>
          <w:rFonts w:asciiTheme="majorBidi" w:hAnsiTheme="majorBidi" w:cstheme="majorBidi"/>
          <w:noProof/>
          <w:sz w:val="20"/>
          <w:szCs w:val="20"/>
        </w:rPr>
        <w:t>edua</w:t>
      </w:r>
      <w:r w:rsidR="006B6805">
        <w:rPr>
          <w:rFonts w:asciiTheme="majorBidi" w:hAnsiTheme="majorBidi" w:cstheme="majorBidi"/>
          <w:noProof/>
          <w:sz w:val="20"/>
          <w:szCs w:val="20"/>
        </w:rPr>
        <w:t>”</w:t>
      </w:r>
      <w:r w:rsidRPr="00150938">
        <w:rPr>
          <w:rFonts w:asciiTheme="majorBidi" w:hAnsiTheme="majorBidi" w:cstheme="majorBidi"/>
          <w:noProof/>
          <w:sz w:val="20"/>
          <w:szCs w:val="20"/>
        </w:rPr>
        <w:t xml:space="preserve"> Jakarta: Ghalia Indonesia</w:t>
      </w:r>
    </w:p>
    <w:p w14:paraId="1F31E8E9" w14:textId="1BBB3018" w:rsidR="00150938" w:rsidRDefault="00150938" w:rsidP="006B6805">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150938">
        <w:rPr>
          <w:rFonts w:asciiTheme="majorBidi" w:hAnsiTheme="majorBidi" w:cstheme="majorBidi"/>
          <w:noProof/>
          <w:sz w:val="20"/>
          <w:szCs w:val="20"/>
        </w:rPr>
        <w:t>Dendawijaya, Lukman. (2005)</w:t>
      </w:r>
      <w:r w:rsidR="006B6805">
        <w:rPr>
          <w:rFonts w:asciiTheme="majorBidi" w:hAnsiTheme="majorBidi" w:cstheme="majorBidi"/>
          <w:noProof/>
          <w:sz w:val="20"/>
          <w:szCs w:val="20"/>
        </w:rPr>
        <w:t xml:space="preserve"> “</w:t>
      </w:r>
      <w:r w:rsidRPr="00150938">
        <w:rPr>
          <w:rFonts w:asciiTheme="majorBidi" w:hAnsiTheme="majorBidi" w:cstheme="majorBidi"/>
          <w:noProof/>
          <w:sz w:val="20"/>
          <w:szCs w:val="20"/>
        </w:rPr>
        <w:t>Manajemen Perbankan. Edisi Kedua</w:t>
      </w:r>
      <w:r w:rsidR="006B6805">
        <w:rPr>
          <w:rFonts w:asciiTheme="majorBidi" w:hAnsiTheme="majorBidi" w:cstheme="majorBidi"/>
          <w:noProof/>
          <w:sz w:val="20"/>
          <w:szCs w:val="20"/>
        </w:rPr>
        <w:t>”</w:t>
      </w:r>
      <w:r w:rsidRPr="00150938">
        <w:rPr>
          <w:rFonts w:asciiTheme="majorBidi" w:hAnsiTheme="majorBidi" w:cstheme="majorBidi"/>
          <w:noProof/>
          <w:sz w:val="20"/>
          <w:szCs w:val="20"/>
        </w:rPr>
        <w:t xml:space="preserve"> Jakarta: Ghalia Indonesia.</w:t>
      </w:r>
    </w:p>
    <w:p w14:paraId="6AF6441B" w14:textId="77777777" w:rsidR="006B6805" w:rsidRDefault="00150938" w:rsidP="006B6805">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150938">
        <w:rPr>
          <w:rFonts w:asciiTheme="majorBidi" w:hAnsiTheme="majorBidi" w:cstheme="majorBidi"/>
          <w:noProof/>
          <w:sz w:val="20"/>
          <w:szCs w:val="20"/>
        </w:rPr>
        <w:t>Erna Sudarmawanti, Joko Pramono. (2017)</w:t>
      </w:r>
      <w:r w:rsidR="00B70F2C">
        <w:rPr>
          <w:rFonts w:asciiTheme="majorBidi" w:hAnsiTheme="majorBidi" w:cstheme="majorBidi"/>
          <w:noProof/>
          <w:sz w:val="20"/>
          <w:szCs w:val="20"/>
        </w:rPr>
        <w:t xml:space="preserve"> “</w:t>
      </w:r>
      <w:r w:rsidRPr="00150938">
        <w:rPr>
          <w:rFonts w:asciiTheme="majorBidi" w:hAnsiTheme="majorBidi" w:cstheme="majorBidi"/>
          <w:noProof/>
          <w:sz w:val="20"/>
          <w:szCs w:val="20"/>
        </w:rPr>
        <w:t>Pengaruh CAR, NPL, BOPO, NIM dan LDR terhadap ROA (Studi kasus pada Bank Perkreditan Rakyat di Salatiga yang terdaftar di Otoritas Jasa Keuangan Tahun 2011-2015</w:t>
      </w:r>
      <w:r w:rsidR="006B6805">
        <w:rPr>
          <w:rFonts w:asciiTheme="majorBidi" w:hAnsiTheme="majorBidi" w:cstheme="majorBidi"/>
          <w:noProof/>
          <w:sz w:val="20"/>
          <w:szCs w:val="20"/>
        </w:rPr>
        <w:t>”</w:t>
      </w:r>
      <w:r w:rsidRPr="00150938">
        <w:rPr>
          <w:rFonts w:asciiTheme="majorBidi" w:hAnsiTheme="majorBidi" w:cstheme="majorBidi"/>
          <w:noProof/>
          <w:sz w:val="20"/>
          <w:szCs w:val="20"/>
        </w:rPr>
        <w:t xml:space="preserve"> Among Makarti Vol.10 No.19.</w:t>
      </w:r>
    </w:p>
    <w:p w14:paraId="5617C6B6" w14:textId="77777777" w:rsidR="006B6805" w:rsidRDefault="00150938" w:rsidP="006B6805">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150938">
        <w:rPr>
          <w:rFonts w:asciiTheme="majorBidi" w:hAnsiTheme="majorBidi" w:cstheme="majorBidi"/>
          <w:noProof/>
          <w:sz w:val="20"/>
          <w:szCs w:val="20"/>
        </w:rPr>
        <w:t>Gitman, Lawrence. (2009)</w:t>
      </w:r>
      <w:r w:rsidR="00B70F2C">
        <w:rPr>
          <w:rFonts w:asciiTheme="majorBidi" w:hAnsiTheme="majorBidi" w:cstheme="majorBidi"/>
          <w:noProof/>
          <w:sz w:val="20"/>
          <w:szCs w:val="20"/>
        </w:rPr>
        <w:t xml:space="preserve"> “</w:t>
      </w:r>
      <w:r w:rsidRPr="00150938">
        <w:rPr>
          <w:rFonts w:asciiTheme="majorBidi" w:hAnsiTheme="majorBidi" w:cstheme="majorBidi"/>
          <w:noProof/>
          <w:sz w:val="20"/>
          <w:szCs w:val="20"/>
        </w:rPr>
        <w:t>Principles of Manajerial Finance</w:t>
      </w:r>
      <w:r w:rsidR="00B70F2C">
        <w:rPr>
          <w:rFonts w:asciiTheme="majorBidi" w:hAnsiTheme="majorBidi" w:cstheme="majorBidi"/>
          <w:noProof/>
          <w:sz w:val="20"/>
          <w:szCs w:val="20"/>
        </w:rPr>
        <w:t>”</w:t>
      </w:r>
      <w:r w:rsidRPr="00150938">
        <w:rPr>
          <w:rFonts w:asciiTheme="majorBidi" w:hAnsiTheme="majorBidi" w:cstheme="majorBidi"/>
          <w:noProof/>
          <w:sz w:val="20"/>
          <w:szCs w:val="20"/>
        </w:rPr>
        <w:t xml:space="preserve"> United States: Pearson Addison Wesley.</w:t>
      </w:r>
    </w:p>
    <w:p w14:paraId="064B4B73" w14:textId="6C14E413" w:rsidR="006B6805" w:rsidRDefault="00150938" w:rsidP="006B6805">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150938">
        <w:rPr>
          <w:rFonts w:asciiTheme="majorBidi" w:hAnsiTheme="majorBidi" w:cstheme="majorBidi"/>
          <w:noProof/>
          <w:sz w:val="20"/>
          <w:szCs w:val="20"/>
        </w:rPr>
        <w:t>Kasmir. (2015)</w:t>
      </w:r>
      <w:r w:rsidR="00B70F2C">
        <w:rPr>
          <w:rFonts w:asciiTheme="majorBidi" w:hAnsiTheme="majorBidi" w:cstheme="majorBidi"/>
          <w:noProof/>
          <w:sz w:val="20"/>
          <w:szCs w:val="20"/>
        </w:rPr>
        <w:t xml:space="preserve"> “</w:t>
      </w:r>
      <w:r w:rsidRPr="00150938">
        <w:rPr>
          <w:rFonts w:asciiTheme="majorBidi" w:hAnsiTheme="majorBidi" w:cstheme="majorBidi"/>
          <w:noProof/>
          <w:sz w:val="20"/>
          <w:szCs w:val="20"/>
        </w:rPr>
        <w:t>Analisis Laporan Keuangan, Edisi Pertama, Cetakan Kedelapan</w:t>
      </w:r>
      <w:r w:rsidR="00B70F2C">
        <w:rPr>
          <w:rFonts w:asciiTheme="majorBidi" w:hAnsiTheme="majorBidi" w:cstheme="majorBidi"/>
          <w:noProof/>
          <w:sz w:val="20"/>
          <w:szCs w:val="20"/>
        </w:rPr>
        <w:t>”</w:t>
      </w:r>
      <w:r w:rsidRPr="00150938">
        <w:rPr>
          <w:rFonts w:asciiTheme="majorBidi" w:hAnsiTheme="majorBidi" w:cstheme="majorBidi"/>
          <w:noProof/>
          <w:sz w:val="20"/>
          <w:szCs w:val="20"/>
        </w:rPr>
        <w:t xml:space="preserve"> Jakarta: PT.</w:t>
      </w:r>
      <w:r w:rsidR="00313D46">
        <w:rPr>
          <w:rFonts w:asciiTheme="majorBidi" w:hAnsiTheme="majorBidi" w:cstheme="majorBidi"/>
          <w:noProof/>
          <w:sz w:val="20"/>
          <w:szCs w:val="20"/>
        </w:rPr>
        <w:t xml:space="preserve"> </w:t>
      </w:r>
      <w:r w:rsidRPr="00150938">
        <w:rPr>
          <w:rFonts w:asciiTheme="majorBidi" w:hAnsiTheme="majorBidi" w:cstheme="majorBidi"/>
          <w:noProof/>
          <w:sz w:val="20"/>
          <w:szCs w:val="20"/>
        </w:rPr>
        <w:t>Rajagrafindo Persada.</w:t>
      </w:r>
    </w:p>
    <w:p w14:paraId="0DB1D181" w14:textId="77777777" w:rsidR="007064AC" w:rsidRDefault="00150938" w:rsidP="007064AC">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150938">
        <w:rPr>
          <w:rFonts w:asciiTheme="majorBidi" w:hAnsiTheme="majorBidi" w:cstheme="majorBidi"/>
          <w:noProof/>
          <w:sz w:val="20"/>
          <w:szCs w:val="20"/>
        </w:rPr>
        <w:t>Luh Eprima Dewi. (2015)</w:t>
      </w:r>
      <w:r w:rsidR="00B70F2C">
        <w:rPr>
          <w:rFonts w:asciiTheme="majorBidi" w:hAnsiTheme="majorBidi" w:cstheme="majorBidi"/>
          <w:noProof/>
          <w:sz w:val="20"/>
          <w:szCs w:val="20"/>
        </w:rPr>
        <w:t xml:space="preserve"> “</w:t>
      </w:r>
      <w:r w:rsidRPr="00150938">
        <w:rPr>
          <w:rFonts w:asciiTheme="majorBidi" w:hAnsiTheme="majorBidi" w:cstheme="majorBidi"/>
          <w:noProof/>
          <w:sz w:val="20"/>
          <w:szCs w:val="20"/>
        </w:rPr>
        <w:t>Analisis Pengaruh NIM, BOPO, LDR dan NPL Terhadap Profitabilitas Pada Bank Umum Swasta Nasional Yang Terdaftar di BEI Tahun 2009-2013</w:t>
      </w:r>
      <w:r w:rsidR="00B70F2C">
        <w:rPr>
          <w:rFonts w:asciiTheme="majorBidi" w:hAnsiTheme="majorBidi" w:cstheme="majorBidi"/>
          <w:noProof/>
          <w:sz w:val="20"/>
          <w:szCs w:val="20"/>
        </w:rPr>
        <w:t>”</w:t>
      </w:r>
      <w:r w:rsidRPr="00150938">
        <w:rPr>
          <w:rFonts w:asciiTheme="majorBidi" w:hAnsiTheme="majorBidi" w:cstheme="majorBidi"/>
          <w:noProof/>
          <w:sz w:val="20"/>
          <w:szCs w:val="20"/>
        </w:rPr>
        <w:t xml:space="preserve"> Vol. IV, No. 2.</w:t>
      </w:r>
    </w:p>
    <w:p w14:paraId="1608320A" w14:textId="77777777" w:rsidR="007064AC" w:rsidRDefault="00150938" w:rsidP="007064AC">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150938">
        <w:rPr>
          <w:rFonts w:asciiTheme="majorBidi" w:hAnsiTheme="majorBidi" w:cstheme="majorBidi"/>
          <w:noProof/>
          <w:sz w:val="20"/>
          <w:szCs w:val="20"/>
        </w:rPr>
        <w:t>Muhamad. (2005)</w:t>
      </w:r>
      <w:r w:rsidR="00B70F2C">
        <w:rPr>
          <w:rFonts w:asciiTheme="majorBidi" w:hAnsiTheme="majorBidi" w:cstheme="majorBidi"/>
          <w:noProof/>
          <w:sz w:val="20"/>
          <w:szCs w:val="20"/>
        </w:rPr>
        <w:t xml:space="preserve"> “</w:t>
      </w:r>
      <w:r w:rsidRPr="00150938">
        <w:rPr>
          <w:rFonts w:asciiTheme="majorBidi" w:hAnsiTheme="majorBidi" w:cstheme="majorBidi"/>
          <w:noProof/>
          <w:sz w:val="20"/>
          <w:szCs w:val="20"/>
        </w:rPr>
        <w:t>Manajemen Bank Syari’ah. Edisi Revisi</w:t>
      </w:r>
      <w:r w:rsidR="00B70F2C">
        <w:rPr>
          <w:rFonts w:asciiTheme="majorBidi" w:hAnsiTheme="majorBidi" w:cstheme="majorBidi"/>
          <w:noProof/>
          <w:sz w:val="20"/>
          <w:szCs w:val="20"/>
        </w:rPr>
        <w:t>”</w:t>
      </w:r>
      <w:r w:rsidRPr="00150938">
        <w:rPr>
          <w:rFonts w:asciiTheme="majorBidi" w:hAnsiTheme="majorBidi" w:cstheme="majorBidi"/>
          <w:noProof/>
          <w:sz w:val="20"/>
          <w:szCs w:val="20"/>
        </w:rPr>
        <w:t xml:space="preserve"> Yogyakarta: UUP AMP YKPN.</w:t>
      </w:r>
    </w:p>
    <w:p w14:paraId="5D17141E" w14:textId="53745D7B" w:rsidR="007064AC" w:rsidRPr="00150938" w:rsidRDefault="007064AC" w:rsidP="007064AC">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7064AC">
        <w:rPr>
          <w:rFonts w:asciiTheme="majorBidi" w:hAnsiTheme="majorBidi" w:cstheme="majorBidi"/>
          <w:noProof/>
          <w:sz w:val="20"/>
          <w:szCs w:val="20"/>
        </w:rPr>
        <w:t>Perdana, Taufan aditya Et al. (2023) The Influence Of Competence, Due Professional Care, Integrity, And Auditor Independence On Audit Quality With The Implementation Of Quality Assurance As A Moderating Variable (Study On The Audit Unit Of The DGCE Regional Office Of East Java I). Neo Journal of Economy and Social Humanities (JENESH) 2(3). 154-176</w:t>
      </w:r>
    </w:p>
    <w:p w14:paraId="0750833C" w14:textId="5044C709" w:rsidR="00150938" w:rsidRPr="00150938" w:rsidRDefault="00150938" w:rsidP="006B6805">
      <w:pPr>
        <w:widowControl w:val="0"/>
        <w:autoSpaceDE w:val="0"/>
        <w:autoSpaceDN w:val="0"/>
        <w:adjustRightInd w:val="0"/>
        <w:spacing w:line="240" w:lineRule="auto"/>
        <w:ind w:left="720" w:hanging="720"/>
        <w:jc w:val="both"/>
        <w:rPr>
          <w:rFonts w:asciiTheme="majorBidi" w:hAnsiTheme="majorBidi" w:cstheme="majorBidi"/>
          <w:noProof/>
          <w:sz w:val="20"/>
          <w:szCs w:val="20"/>
        </w:rPr>
      </w:pPr>
      <w:r w:rsidRPr="00150938">
        <w:rPr>
          <w:rFonts w:asciiTheme="majorBidi" w:hAnsiTheme="majorBidi" w:cstheme="majorBidi"/>
          <w:noProof/>
          <w:sz w:val="20"/>
          <w:szCs w:val="20"/>
        </w:rPr>
        <w:t>Rivai, Veithzal dan Arviyan Arifin. (2010)</w:t>
      </w:r>
      <w:r w:rsidR="00B70F2C">
        <w:rPr>
          <w:rFonts w:asciiTheme="majorBidi" w:hAnsiTheme="majorBidi" w:cstheme="majorBidi"/>
          <w:noProof/>
          <w:sz w:val="20"/>
          <w:szCs w:val="20"/>
        </w:rPr>
        <w:t xml:space="preserve"> “</w:t>
      </w:r>
      <w:r w:rsidRPr="00150938">
        <w:rPr>
          <w:rFonts w:asciiTheme="majorBidi" w:hAnsiTheme="majorBidi" w:cstheme="majorBidi"/>
          <w:noProof/>
          <w:sz w:val="20"/>
          <w:szCs w:val="20"/>
        </w:rPr>
        <w:t>Islamic Banking: Sebuah Teori, Konsep, dan Aplikasi</w:t>
      </w:r>
      <w:r w:rsidR="00B70F2C">
        <w:rPr>
          <w:rFonts w:asciiTheme="majorBidi" w:hAnsiTheme="majorBidi" w:cstheme="majorBidi"/>
          <w:noProof/>
          <w:sz w:val="20"/>
          <w:szCs w:val="20"/>
        </w:rPr>
        <w:t xml:space="preserve">” </w:t>
      </w:r>
      <w:r w:rsidRPr="00150938">
        <w:rPr>
          <w:rFonts w:asciiTheme="majorBidi" w:hAnsiTheme="majorBidi" w:cstheme="majorBidi"/>
          <w:noProof/>
          <w:sz w:val="20"/>
          <w:szCs w:val="20"/>
        </w:rPr>
        <w:t>Jakarta: Bumi Aksara.</w:t>
      </w:r>
    </w:p>
    <w:p w14:paraId="185FDDC2" w14:textId="3AF72892" w:rsidR="00150938" w:rsidRPr="00150938" w:rsidRDefault="00150938" w:rsidP="006B6805">
      <w:pPr>
        <w:widowControl w:val="0"/>
        <w:autoSpaceDE w:val="0"/>
        <w:autoSpaceDN w:val="0"/>
        <w:adjustRightInd w:val="0"/>
        <w:spacing w:line="240" w:lineRule="auto"/>
        <w:jc w:val="both"/>
        <w:rPr>
          <w:rFonts w:asciiTheme="majorBidi" w:hAnsiTheme="majorBidi" w:cstheme="majorBidi"/>
          <w:noProof/>
          <w:sz w:val="20"/>
          <w:szCs w:val="20"/>
        </w:rPr>
      </w:pPr>
      <w:r w:rsidRPr="00150938">
        <w:rPr>
          <w:rFonts w:asciiTheme="majorBidi" w:hAnsiTheme="majorBidi" w:cstheme="majorBidi"/>
          <w:noProof/>
          <w:sz w:val="20"/>
          <w:szCs w:val="20"/>
        </w:rPr>
        <w:t>Riyanto, Bambang. (2011)</w:t>
      </w:r>
      <w:r w:rsidR="00B70F2C">
        <w:rPr>
          <w:rFonts w:asciiTheme="majorBidi" w:hAnsiTheme="majorBidi" w:cstheme="majorBidi"/>
          <w:noProof/>
          <w:sz w:val="20"/>
          <w:szCs w:val="20"/>
        </w:rPr>
        <w:t xml:space="preserve"> “</w:t>
      </w:r>
      <w:r w:rsidRPr="00150938">
        <w:rPr>
          <w:rFonts w:asciiTheme="majorBidi" w:hAnsiTheme="majorBidi" w:cstheme="majorBidi"/>
          <w:noProof/>
          <w:sz w:val="20"/>
          <w:szCs w:val="20"/>
        </w:rPr>
        <w:t>Dasar-Dasar Pembelanjaan Perusahaan. Edisi Empat</w:t>
      </w:r>
      <w:r w:rsidR="00B70F2C">
        <w:rPr>
          <w:rFonts w:asciiTheme="majorBidi" w:hAnsiTheme="majorBidi" w:cstheme="majorBidi"/>
          <w:noProof/>
          <w:sz w:val="20"/>
          <w:szCs w:val="20"/>
        </w:rPr>
        <w:t>”</w:t>
      </w:r>
      <w:r w:rsidRPr="00150938">
        <w:rPr>
          <w:rFonts w:asciiTheme="majorBidi" w:hAnsiTheme="majorBidi" w:cstheme="majorBidi"/>
          <w:noProof/>
          <w:sz w:val="20"/>
          <w:szCs w:val="20"/>
        </w:rPr>
        <w:t xml:space="preserve"> Yogyakarta: BPFE.</w:t>
      </w:r>
    </w:p>
    <w:p w14:paraId="78A7BCB5" w14:textId="26730CD8" w:rsidR="00150938" w:rsidRPr="00150938" w:rsidRDefault="00150938" w:rsidP="006B6805">
      <w:pPr>
        <w:widowControl w:val="0"/>
        <w:autoSpaceDE w:val="0"/>
        <w:autoSpaceDN w:val="0"/>
        <w:adjustRightInd w:val="0"/>
        <w:spacing w:line="240" w:lineRule="auto"/>
        <w:jc w:val="both"/>
        <w:rPr>
          <w:rFonts w:asciiTheme="majorBidi" w:hAnsiTheme="majorBidi" w:cstheme="majorBidi"/>
          <w:noProof/>
          <w:sz w:val="20"/>
          <w:szCs w:val="20"/>
        </w:rPr>
      </w:pPr>
      <w:r w:rsidRPr="00150938">
        <w:rPr>
          <w:rFonts w:asciiTheme="majorBidi" w:hAnsiTheme="majorBidi" w:cstheme="majorBidi"/>
          <w:noProof/>
          <w:sz w:val="20"/>
          <w:szCs w:val="20"/>
        </w:rPr>
        <w:t>Sinungan, M. (2000)</w:t>
      </w:r>
      <w:r w:rsidR="00B70F2C">
        <w:rPr>
          <w:rFonts w:asciiTheme="majorBidi" w:hAnsiTheme="majorBidi" w:cstheme="majorBidi"/>
          <w:noProof/>
          <w:sz w:val="20"/>
          <w:szCs w:val="20"/>
        </w:rPr>
        <w:t xml:space="preserve"> “</w:t>
      </w:r>
      <w:r w:rsidRPr="00150938">
        <w:rPr>
          <w:rFonts w:asciiTheme="majorBidi" w:hAnsiTheme="majorBidi" w:cstheme="majorBidi"/>
          <w:noProof/>
          <w:sz w:val="20"/>
          <w:szCs w:val="20"/>
        </w:rPr>
        <w:t>Manajemen Dana Bank</w:t>
      </w:r>
      <w:r w:rsidR="00B70F2C">
        <w:rPr>
          <w:rFonts w:asciiTheme="majorBidi" w:hAnsiTheme="majorBidi" w:cstheme="majorBidi"/>
          <w:noProof/>
          <w:sz w:val="20"/>
          <w:szCs w:val="20"/>
        </w:rPr>
        <w:t>”</w:t>
      </w:r>
      <w:r w:rsidRPr="00150938">
        <w:rPr>
          <w:rFonts w:asciiTheme="majorBidi" w:hAnsiTheme="majorBidi" w:cstheme="majorBidi"/>
          <w:noProof/>
          <w:sz w:val="20"/>
          <w:szCs w:val="20"/>
        </w:rPr>
        <w:t xml:space="preserve"> Jakarta: Bumi Aksara.</w:t>
      </w:r>
    </w:p>
    <w:p w14:paraId="1A74EB26" w14:textId="544A448B" w:rsidR="008D2827" w:rsidRPr="004E50CE" w:rsidRDefault="00150938" w:rsidP="006B6805">
      <w:pPr>
        <w:widowControl w:val="0"/>
        <w:autoSpaceDE w:val="0"/>
        <w:autoSpaceDN w:val="0"/>
        <w:adjustRightInd w:val="0"/>
        <w:spacing w:line="240" w:lineRule="auto"/>
        <w:jc w:val="both"/>
        <w:rPr>
          <w:rFonts w:asciiTheme="majorBidi" w:hAnsiTheme="majorBidi" w:cstheme="majorBidi"/>
          <w:noProof/>
          <w:sz w:val="20"/>
          <w:szCs w:val="20"/>
        </w:rPr>
      </w:pPr>
      <w:r w:rsidRPr="00150938">
        <w:rPr>
          <w:rFonts w:asciiTheme="majorBidi" w:hAnsiTheme="majorBidi" w:cstheme="majorBidi"/>
          <w:noProof/>
          <w:sz w:val="20"/>
          <w:szCs w:val="20"/>
        </w:rPr>
        <w:t xml:space="preserve">Tambunan, Tulus. (2008). </w:t>
      </w:r>
      <w:r w:rsidR="00B70F2C">
        <w:rPr>
          <w:rFonts w:asciiTheme="majorBidi" w:hAnsiTheme="majorBidi" w:cstheme="majorBidi"/>
          <w:noProof/>
          <w:sz w:val="20"/>
          <w:szCs w:val="20"/>
        </w:rPr>
        <w:t>“</w:t>
      </w:r>
      <w:r w:rsidRPr="00150938">
        <w:rPr>
          <w:rFonts w:asciiTheme="majorBidi" w:hAnsiTheme="majorBidi" w:cstheme="majorBidi"/>
          <w:noProof/>
          <w:sz w:val="20"/>
          <w:szCs w:val="20"/>
        </w:rPr>
        <w:t>Ukuran Daya Saing Koperasi dan UKM</w:t>
      </w:r>
      <w:r w:rsidR="00B70F2C">
        <w:rPr>
          <w:rFonts w:asciiTheme="majorBidi" w:hAnsiTheme="majorBidi" w:cstheme="majorBidi"/>
          <w:noProof/>
          <w:sz w:val="20"/>
          <w:szCs w:val="20"/>
        </w:rPr>
        <w:t>”</w:t>
      </w:r>
      <w:r w:rsidRPr="00150938">
        <w:rPr>
          <w:rFonts w:asciiTheme="majorBidi" w:hAnsiTheme="majorBidi" w:cstheme="majorBidi"/>
          <w:noProof/>
          <w:sz w:val="20"/>
          <w:szCs w:val="20"/>
        </w:rPr>
        <w:t xml:space="preserve"> Jurnal Pusat Studi Industri dan UKM. Vol. 99.</w:t>
      </w:r>
    </w:p>
    <w:sectPr w:rsidR="008D2827" w:rsidRPr="004E50CE" w:rsidSect="00DD41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D91A" w14:textId="77777777" w:rsidR="002071EF" w:rsidRDefault="002071EF" w:rsidP="007C6543">
      <w:pPr>
        <w:spacing w:after="0" w:line="240" w:lineRule="auto"/>
      </w:pPr>
      <w:r>
        <w:separator/>
      </w:r>
    </w:p>
  </w:endnote>
  <w:endnote w:type="continuationSeparator" w:id="0">
    <w:p w14:paraId="2606D819" w14:textId="77777777" w:rsidR="002071EF" w:rsidRDefault="002071EF" w:rsidP="007C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344852"/>
      <w:docPartObj>
        <w:docPartGallery w:val="Page Numbers (Bottom of Page)"/>
        <w:docPartUnique/>
      </w:docPartObj>
    </w:sdtPr>
    <w:sdtEndPr>
      <w:rPr>
        <w:noProof/>
      </w:rPr>
    </w:sdtEndPr>
    <w:sdtContent>
      <w:p w14:paraId="57AF0B82" w14:textId="495B8EF8" w:rsidR="00AB1B27" w:rsidRDefault="00AB1B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0949BB" w14:textId="27716F4C" w:rsidR="007C6543" w:rsidRPr="007F69D1" w:rsidRDefault="00AB1B27">
    <w:pPr>
      <w:pStyle w:val="Footer"/>
      <w:rPr>
        <w:rFonts w:ascii="Times New Roman" w:hAnsi="Times New Roman" w:cs="Times New Roman"/>
      </w:rPr>
    </w:pPr>
    <w:r w:rsidRPr="001D0EA1">
      <w:rPr>
        <w:rFonts w:ascii="Times New Roman" w:hAnsi="Times New Roman" w:cs="Times New Roman"/>
      </w:rPr>
      <w:t>https://internationalpublisher.id/journal/index.php/Nejesh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272825"/>
      <w:docPartObj>
        <w:docPartGallery w:val="Page Numbers (Bottom of Page)"/>
        <w:docPartUnique/>
      </w:docPartObj>
    </w:sdtPr>
    <w:sdtEndPr>
      <w:rPr>
        <w:noProof/>
      </w:rPr>
    </w:sdtEndPr>
    <w:sdtContent>
      <w:p w14:paraId="070E1D0D" w14:textId="6B9FAB96" w:rsidR="001D0EA1" w:rsidRDefault="001D0E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892FE" w14:textId="4232A3AF" w:rsidR="001D0EA1" w:rsidRDefault="001D0EA1">
    <w:pPr>
      <w:pStyle w:val="Footer"/>
      <w:rPr>
        <w:rFonts w:ascii="Times New Roman" w:hAnsi="Times New Roman" w:cs="Times New Roman"/>
      </w:rPr>
    </w:pPr>
    <w:r w:rsidRPr="001D0EA1">
      <w:rPr>
        <w:rFonts w:ascii="Times New Roman" w:hAnsi="Times New Roman" w:cs="Times New Roman"/>
      </w:rPr>
      <w:t>https://internationalpublisher.id/journal/index.php/Nejesh</w:t>
    </w:r>
    <w:r w:rsidR="00DC3E4E">
      <w:rPr>
        <w:rFonts w:ascii="Times New Roman" w:hAnsi="Times New Roman" w:cs="Times New Roman"/>
      </w:rPr>
      <w:tab/>
    </w:r>
  </w:p>
  <w:p w14:paraId="47EB5568" w14:textId="74ED37E8" w:rsidR="00DC3E4E" w:rsidRPr="001D0EA1" w:rsidRDefault="00D65ACC" w:rsidP="00D65ACC">
    <w:pPr>
      <w:pStyle w:val="Footer"/>
      <w:tabs>
        <w:tab w:val="clear" w:pos="4680"/>
        <w:tab w:val="clear" w:pos="9360"/>
        <w:tab w:val="left" w:pos="6219"/>
      </w:tabs>
      <w:rPr>
        <w:rFonts w:ascii="Times New Roman" w:hAnsi="Times New Roman" w:cs="Times New Roman"/>
      </w:rPr>
    </w:pP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DB74" w14:textId="77777777" w:rsidR="002071EF" w:rsidRDefault="002071EF" w:rsidP="007C6543">
      <w:pPr>
        <w:spacing w:after="0" w:line="240" w:lineRule="auto"/>
      </w:pPr>
      <w:r>
        <w:separator/>
      </w:r>
    </w:p>
  </w:footnote>
  <w:footnote w:type="continuationSeparator" w:id="0">
    <w:p w14:paraId="77507068" w14:textId="77777777" w:rsidR="002071EF" w:rsidRDefault="002071EF" w:rsidP="007C6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6908" w14:textId="74EE997A" w:rsidR="00B55A90" w:rsidRDefault="00150938">
    <w:pPr>
      <w:pStyle w:val="Header"/>
      <w:pBdr>
        <w:bottom w:val="single" w:sz="6" w:space="1" w:color="auto"/>
      </w:pBdr>
      <w:rPr>
        <w:rFonts w:ascii="Times New Roman" w:hAnsi="Times New Roman" w:cs="Times New Roman"/>
        <w:b/>
        <w:bCs/>
      </w:rPr>
    </w:pPr>
    <w:r w:rsidRPr="00150938">
      <w:rPr>
        <w:rFonts w:ascii="Times New Roman" w:hAnsi="Times New Roman" w:cs="Times New Roman"/>
        <w:b/>
        <w:sz w:val="20"/>
        <w:szCs w:val="20"/>
      </w:rPr>
      <w:t>Alfi Maghfuriyah</w:t>
    </w:r>
    <w:r w:rsidR="00B55A90">
      <w:rPr>
        <w:rFonts w:ascii="Times New Roman" w:hAnsi="Times New Roman" w:cs="Times New Roman"/>
        <w:b/>
        <w:bCs/>
      </w:rPr>
      <w:tab/>
    </w:r>
    <w:r w:rsidR="00B55A90">
      <w:rPr>
        <w:rFonts w:ascii="Times New Roman" w:hAnsi="Times New Roman" w:cs="Times New Roman"/>
        <w:b/>
        <w:bCs/>
      </w:rPr>
      <w:tab/>
    </w:r>
    <w:r w:rsidR="00B55A90" w:rsidRPr="007F69D1">
      <w:rPr>
        <w:rFonts w:ascii="Times New Roman" w:eastAsia="Times New Roman" w:hAnsi="Times New Roman" w:cs="Times New Roman"/>
        <w:b/>
        <w:color w:val="000000"/>
        <w:highlight w:val="white"/>
        <w:lang w:val="id-ID"/>
      </w:rPr>
      <w:t>Neo Journal of Economy and Social Humanities</w:t>
    </w:r>
  </w:p>
  <w:p w14:paraId="6DD41689" w14:textId="77777777" w:rsidR="00B55A90" w:rsidRPr="00B55A90" w:rsidRDefault="00B55A90">
    <w:pPr>
      <w:pStyle w:val="Header"/>
      <w:rPr>
        <w:rFonts w:ascii="Times New Roman" w:hAnsi="Times New Roman" w:cs="Times New Roman"/>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6419" w14:textId="2AE445DB" w:rsidR="007C6543" w:rsidRPr="007F69D1" w:rsidRDefault="007C6543" w:rsidP="00DC3E4E">
    <w:pPr>
      <w:pBdr>
        <w:top w:val="nil"/>
        <w:left w:val="nil"/>
        <w:bottom w:val="nil"/>
        <w:right w:val="nil"/>
        <w:between w:val="nil"/>
      </w:pBdr>
      <w:tabs>
        <w:tab w:val="center" w:pos="4320"/>
        <w:tab w:val="right" w:pos="9315"/>
      </w:tabs>
      <w:spacing w:after="0" w:line="240" w:lineRule="auto"/>
      <w:ind w:right="45"/>
      <w:rPr>
        <w:rFonts w:ascii="Times New Roman" w:eastAsia="Times New Roman" w:hAnsi="Times New Roman" w:cs="Times New Roman"/>
        <w:b/>
        <w:color w:val="000000"/>
        <w:sz w:val="24"/>
        <w:szCs w:val="24"/>
        <w:lang w:val="id-ID"/>
      </w:rPr>
    </w:pPr>
    <w:r w:rsidRPr="007F69D1">
      <w:rPr>
        <w:rFonts w:ascii="Times New Roman" w:eastAsia="Times New Roman" w:hAnsi="Times New Roman" w:cs="Times New Roman"/>
        <w:b/>
        <w:color w:val="000000"/>
        <w:sz w:val="28"/>
        <w:szCs w:val="28"/>
        <w:highlight w:val="white"/>
        <w:lang w:val="id-ID"/>
      </w:rPr>
      <w:t>Neo Journal of Economy and Social Humanities</w:t>
    </w:r>
    <w:r w:rsidR="00DC3E4E" w:rsidRPr="00155E4F">
      <w:rPr>
        <w:rFonts w:ascii="Times New Roman" w:eastAsia="Times New Roman" w:hAnsi="Times New Roman" w:cs="Times New Roman"/>
        <w:b/>
        <w:color w:val="000000"/>
        <w:sz w:val="28"/>
        <w:szCs w:val="28"/>
        <w:lang w:val="id-ID"/>
      </w:rPr>
      <w:tab/>
    </w:r>
    <w:r w:rsidR="00DC3E4E" w:rsidRPr="007F69D1">
      <w:rPr>
        <w:rFonts w:ascii="Times New Roman" w:eastAsia="Times New Roman" w:hAnsi="Times New Roman" w:cs="Times New Roman"/>
        <w:b/>
        <w:bCs/>
        <w:color w:val="000000"/>
        <w:sz w:val="20"/>
        <w:szCs w:val="20"/>
        <w:lang w:val="id-ID"/>
      </w:rPr>
      <w:t>ISSN: 2828-6480</w:t>
    </w:r>
  </w:p>
  <w:p w14:paraId="2504EA4D" w14:textId="3C134BB2" w:rsidR="007C6543" w:rsidRPr="004A6A55" w:rsidRDefault="007C6543" w:rsidP="00DC3E4E">
    <w:pPr>
      <w:pBdr>
        <w:top w:val="nil"/>
        <w:left w:val="nil"/>
        <w:bottom w:val="nil"/>
        <w:right w:val="nil"/>
        <w:between w:val="nil"/>
      </w:pBdr>
      <w:tabs>
        <w:tab w:val="center" w:pos="4320"/>
        <w:tab w:val="right" w:pos="9315"/>
      </w:tabs>
      <w:spacing w:after="0" w:line="240" w:lineRule="auto"/>
      <w:ind w:right="45"/>
      <w:rPr>
        <w:rFonts w:ascii="Times New Roman" w:eastAsia="Times New Roman" w:hAnsi="Times New Roman" w:cs="Times New Roman"/>
        <w:sz w:val="20"/>
        <w:szCs w:val="20"/>
      </w:rPr>
    </w:pPr>
    <w:r w:rsidRPr="004A6A55">
      <w:rPr>
        <w:rFonts w:ascii="Times New Roman" w:eastAsia="Times New Roman" w:hAnsi="Times New Roman" w:cs="Times New Roman"/>
        <w:sz w:val="20"/>
        <w:szCs w:val="20"/>
        <w:lang w:val="id-ID"/>
      </w:rPr>
      <w:t>Vol</w:t>
    </w:r>
    <w:r w:rsidR="00E50AA8" w:rsidRPr="004A6A55">
      <w:rPr>
        <w:rFonts w:ascii="Times New Roman" w:eastAsia="Times New Roman" w:hAnsi="Times New Roman" w:cs="Times New Roman"/>
        <w:sz w:val="20"/>
        <w:szCs w:val="20"/>
      </w:rPr>
      <w:t>.</w:t>
    </w:r>
    <w:r w:rsidRPr="004A6A55">
      <w:rPr>
        <w:rFonts w:ascii="Times New Roman" w:eastAsia="Times New Roman" w:hAnsi="Times New Roman" w:cs="Times New Roman"/>
        <w:sz w:val="20"/>
        <w:szCs w:val="20"/>
        <w:lang w:val="id-ID"/>
      </w:rPr>
      <w:t xml:space="preserve"> </w:t>
    </w:r>
    <w:r w:rsidRPr="004A6A55">
      <w:rPr>
        <w:rFonts w:ascii="Times New Roman" w:eastAsia="Times New Roman" w:hAnsi="Times New Roman" w:cs="Times New Roman"/>
        <w:sz w:val="20"/>
        <w:szCs w:val="20"/>
      </w:rPr>
      <w:t>2</w:t>
    </w:r>
    <w:r w:rsidRPr="004A6A55">
      <w:rPr>
        <w:rFonts w:ascii="Times New Roman" w:eastAsia="Times New Roman" w:hAnsi="Times New Roman" w:cs="Times New Roman"/>
        <w:sz w:val="20"/>
        <w:szCs w:val="20"/>
        <w:lang w:val="id-ID"/>
      </w:rPr>
      <w:t xml:space="preserve">, </w:t>
    </w:r>
    <w:r w:rsidR="00E50AA8" w:rsidRPr="004A6A55">
      <w:rPr>
        <w:rFonts w:ascii="Times New Roman" w:eastAsia="Times New Roman" w:hAnsi="Times New Roman" w:cs="Times New Roman"/>
        <w:sz w:val="20"/>
        <w:szCs w:val="20"/>
      </w:rPr>
      <w:t>No.</w:t>
    </w:r>
    <w:r w:rsidRPr="004A6A55">
      <w:rPr>
        <w:rFonts w:ascii="Times New Roman" w:eastAsia="Times New Roman" w:hAnsi="Times New Roman" w:cs="Times New Roman"/>
        <w:sz w:val="20"/>
        <w:szCs w:val="20"/>
        <w:lang w:val="id-ID"/>
      </w:rPr>
      <w:t xml:space="preserve"> </w:t>
    </w:r>
    <w:r w:rsidR="00043B50">
      <w:rPr>
        <w:rFonts w:ascii="Times New Roman" w:eastAsia="Times New Roman" w:hAnsi="Times New Roman" w:cs="Times New Roman"/>
        <w:sz w:val="20"/>
        <w:szCs w:val="20"/>
      </w:rPr>
      <w:t>4</w:t>
    </w:r>
    <w:r w:rsidRPr="004A6A55">
      <w:rPr>
        <w:rFonts w:ascii="Times New Roman" w:eastAsia="Times New Roman" w:hAnsi="Times New Roman" w:cs="Times New Roman"/>
        <w:sz w:val="20"/>
        <w:szCs w:val="20"/>
        <w:lang w:val="id-ID"/>
      </w:rPr>
      <w:t xml:space="preserve">, </w:t>
    </w:r>
    <w:r w:rsidR="00043B50">
      <w:rPr>
        <w:rFonts w:ascii="Times New Roman" w:eastAsia="Times New Roman" w:hAnsi="Times New Roman" w:cs="Times New Roman"/>
        <w:sz w:val="20"/>
        <w:szCs w:val="20"/>
      </w:rPr>
      <w:t>December</w:t>
    </w:r>
    <w:r w:rsidRPr="004A6A55">
      <w:rPr>
        <w:rFonts w:ascii="Times New Roman" w:eastAsia="Times New Roman" w:hAnsi="Times New Roman" w:cs="Times New Roman"/>
        <w:sz w:val="20"/>
        <w:szCs w:val="20"/>
        <w:lang w:val="id-ID"/>
      </w:rPr>
      <w:t xml:space="preserve"> 202</w:t>
    </w:r>
    <w:r w:rsidRPr="004A6A55">
      <w:rPr>
        <w:rFonts w:ascii="Times New Roman" w:eastAsia="Times New Roman" w:hAnsi="Times New Roman" w:cs="Times New Roman"/>
        <w:sz w:val="20"/>
        <w:szCs w:val="20"/>
      </w:rPr>
      <w:t>3</w:t>
    </w:r>
    <w:r w:rsidR="00DC3E4E" w:rsidRPr="004A6A55">
      <w:rPr>
        <w:rFonts w:ascii="Times New Roman" w:eastAsia="Times New Roman" w:hAnsi="Times New Roman" w:cs="Times New Roman"/>
        <w:sz w:val="20"/>
        <w:szCs w:val="20"/>
      </w:rPr>
      <w:tab/>
    </w:r>
    <w:r w:rsidR="00D65ACC" w:rsidRPr="004A6A55">
      <w:rPr>
        <w:rFonts w:ascii="Times New Roman" w:eastAsia="Times New Roman" w:hAnsi="Times New Roman" w:cs="Times New Roman"/>
        <w:sz w:val="20"/>
        <w:szCs w:val="20"/>
      </w:rPr>
      <w:tab/>
    </w:r>
    <w:r w:rsidR="00DC3E4E" w:rsidRPr="004A6A55">
      <w:rPr>
        <w:rFonts w:ascii="Times New Roman" w:eastAsia="Times New Roman" w:hAnsi="Times New Roman" w:cs="Times New Roman"/>
        <w:sz w:val="20"/>
        <w:szCs w:val="20"/>
      </w:rPr>
      <w:tab/>
    </w:r>
  </w:p>
  <w:p w14:paraId="02991C22" w14:textId="20271786" w:rsidR="007C6543" w:rsidRPr="00DC3E4E" w:rsidRDefault="00DC3E4E" w:rsidP="007C6543">
    <w:pPr>
      <w:pStyle w:val="Header"/>
      <w:pBdr>
        <w:bottom w:val="single" w:sz="6" w:space="1" w:color="auto"/>
      </w:pBdr>
      <w:rPr>
        <w:rFonts w:ascii="Times New Roman" w:eastAsia="Times New Roman" w:hAnsi="Times New Roman" w:cs="Times New Roman"/>
        <w:color w:val="000000"/>
        <w:sz w:val="20"/>
        <w:szCs w:val="20"/>
      </w:rPr>
    </w:pPr>
    <w:r w:rsidRPr="00150938">
      <w:rPr>
        <w:rFonts w:ascii="Times New Roman" w:eastAsia="Times New Roman" w:hAnsi="Times New Roman" w:cs="Times New Roman"/>
        <w:sz w:val="20"/>
        <w:szCs w:val="20"/>
      </w:rPr>
      <w:t xml:space="preserve">pp. </w:t>
    </w:r>
    <w:r w:rsidR="004A6A55" w:rsidRPr="00150938">
      <w:rPr>
        <w:rFonts w:ascii="Times New Roman" w:eastAsia="Times New Roman" w:hAnsi="Times New Roman" w:cs="Times New Roman"/>
        <w:sz w:val="20"/>
        <w:szCs w:val="20"/>
      </w:rPr>
      <w:t>2</w:t>
    </w:r>
    <w:r w:rsidR="00B95EC5">
      <w:rPr>
        <w:rFonts w:ascii="Times New Roman" w:eastAsia="Times New Roman" w:hAnsi="Times New Roman" w:cs="Times New Roman"/>
        <w:sz w:val="20"/>
        <w:szCs w:val="20"/>
      </w:rPr>
      <w:t>4</w:t>
    </w:r>
    <w:r w:rsidR="00003D56">
      <w:rPr>
        <w:rFonts w:ascii="Times New Roman" w:eastAsia="Times New Roman" w:hAnsi="Times New Roman" w:cs="Times New Roman"/>
        <w:sz w:val="20"/>
        <w:szCs w:val="20"/>
      </w:rPr>
      <w:t>5</w:t>
    </w:r>
    <w:r w:rsidR="00150938" w:rsidRPr="00150938">
      <w:rPr>
        <w:rFonts w:ascii="Times New Roman" w:eastAsia="Times New Roman" w:hAnsi="Times New Roman" w:cs="Times New Roman"/>
        <w:sz w:val="20"/>
        <w:szCs w:val="20"/>
      </w:rPr>
      <w:t>-</w:t>
    </w:r>
    <w:r w:rsidR="007064AC">
      <w:rPr>
        <w:rFonts w:ascii="Times New Roman" w:eastAsia="Times New Roman" w:hAnsi="Times New Roman" w:cs="Times New Roman"/>
        <w:sz w:val="20"/>
        <w:szCs w:val="20"/>
      </w:rPr>
      <w:t>250</w:t>
    </w:r>
    <w:r w:rsidRPr="004A6A55">
      <w:rPr>
        <w:rFonts w:ascii="Times New Roman" w:eastAsia="Times New Roman" w:hAnsi="Times New Roman" w:cs="Times New Roman"/>
        <w:sz w:val="20"/>
        <w:szCs w:val="20"/>
        <w:lang w:val="id-ID"/>
      </w:rPr>
      <w:tab/>
    </w:r>
    <w:r w:rsidR="00D65ACC" w:rsidRPr="004A6A55">
      <w:rPr>
        <w:rFonts w:ascii="Times New Roman" w:eastAsia="Times New Roman" w:hAnsi="Times New Roman" w:cs="Times New Roman"/>
        <w:sz w:val="20"/>
        <w:szCs w:val="20"/>
        <w:lang w:val="id-ID"/>
      </w:rPr>
      <w:tab/>
      <w:t>http://dx.doi.org/ 10.56403/nejesh.v2i3.</w:t>
    </w:r>
    <w:r w:rsidR="00B95EC5">
      <w:rPr>
        <w:rFonts w:ascii="Times New Roman" w:eastAsia="Times New Roman" w:hAnsi="Times New Roman" w:cs="Times New Roman"/>
        <w:sz w:val="20"/>
        <w:szCs w:val="20"/>
      </w:rPr>
      <w:t>141</w:t>
    </w:r>
    <w:r>
      <w:rPr>
        <w:rFonts w:ascii="Times New Roman" w:eastAsia="Times New Roman" w:hAnsi="Times New Roman" w:cs="Times New Roman"/>
        <w:color w:val="000000"/>
        <w:sz w:val="20"/>
        <w:szCs w:val="20"/>
        <w:lang w:val="id-ID"/>
      </w:rPr>
      <w:tab/>
    </w:r>
  </w:p>
  <w:p w14:paraId="5B81271C" w14:textId="77777777" w:rsidR="00C5542F" w:rsidRDefault="00C5542F" w:rsidP="007C6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DD3817"/>
    <w:multiLevelType w:val="hybridMultilevel"/>
    <w:tmpl w:val="FEA38E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C3919"/>
    <w:multiLevelType w:val="multilevel"/>
    <w:tmpl w:val="7F54432C"/>
    <w:lvl w:ilvl="0">
      <w:start w:val="1"/>
      <w:numFmt w:val="decimal"/>
      <w:pStyle w:val="yange2"/>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575C9"/>
    <w:multiLevelType w:val="hybridMultilevel"/>
    <w:tmpl w:val="B65A4272"/>
    <w:lvl w:ilvl="0" w:tplc="7958B3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DA11C8F"/>
    <w:multiLevelType w:val="hybridMultilevel"/>
    <w:tmpl w:val="802C9C4E"/>
    <w:lvl w:ilvl="0" w:tplc="6344905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977AA"/>
    <w:multiLevelType w:val="hybridMultilevel"/>
    <w:tmpl w:val="25824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A6AEB"/>
    <w:multiLevelType w:val="multilevel"/>
    <w:tmpl w:val="14D245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F30B36"/>
    <w:multiLevelType w:val="hybridMultilevel"/>
    <w:tmpl w:val="FBB63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603F6"/>
    <w:multiLevelType w:val="hybridMultilevel"/>
    <w:tmpl w:val="65A2516A"/>
    <w:lvl w:ilvl="0" w:tplc="D8585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A690A"/>
    <w:multiLevelType w:val="hybridMultilevel"/>
    <w:tmpl w:val="E11A66F2"/>
    <w:lvl w:ilvl="0" w:tplc="94E0B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34A9E"/>
    <w:multiLevelType w:val="hybridMultilevel"/>
    <w:tmpl w:val="83B06B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962C01"/>
    <w:multiLevelType w:val="hybridMultilevel"/>
    <w:tmpl w:val="87B6F210"/>
    <w:lvl w:ilvl="0" w:tplc="13B0AA0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C40308"/>
    <w:multiLevelType w:val="hybridMultilevel"/>
    <w:tmpl w:val="EF9A6EBE"/>
    <w:lvl w:ilvl="0" w:tplc="962A4310">
      <w:start w:val="1"/>
      <w:numFmt w:val="decimal"/>
      <w:lvlText w:val="(%1)"/>
      <w:lvlJc w:val="left"/>
      <w:pPr>
        <w:ind w:left="720" w:hanging="360"/>
      </w:pPr>
      <w:rPr>
        <w:rFonts w:hint="default"/>
      </w:rPr>
    </w:lvl>
    <w:lvl w:ilvl="1" w:tplc="D6B20B6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A4901"/>
    <w:multiLevelType w:val="hybridMultilevel"/>
    <w:tmpl w:val="637AA4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51584D"/>
    <w:multiLevelType w:val="hybridMultilevel"/>
    <w:tmpl w:val="6298E78A"/>
    <w:lvl w:ilvl="0" w:tplc="04090019">
      <w:start w:val="1"/>
      <w:numFmt w:val="lowerLetter"/>
      <w:lvlText w:val="%1."/>
      <w:lvlJc w:val="left"/>
      <w:pPr>
        <w:ind w:left="1080" w:hanging="360"/>
      </w:p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E9C5151"/>
    <w:multiLevelType w:val="multilevel"/>
    <w:tmpl w:val="06BCC560"/>
    <w:lvl w:ilvl="0">
      <w:start w:val="1"/>
      <w:numFmt w:val="decimal"/>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C128E3"/>
    <w:multiLevelType w:val="hybridMultilevel"/>
    <w:tmpl w:val="69C422A4"/>
    <w:lvl w:ilvl="0" w:tplc="38090019">
      <w:start w:val="1"/>
      <w:numFmt w:val="lowerLetter"/>
      <w:lvlText w:val="%1."/>
      <w:lvlJc w:val="left"/>
      <w:pPr>
        <w:ind w:left="1308" w:hanging="360"/>
      </w:pPr>
    </w:lvl>
    <w:lvl w:ilvl="1" w:tplc="38090019" w:tentative="1">
      <w:start w:val="1"/>
      <w:numFmt w:val="lowerLetter"/>
      <w:lvlText w:val="%2."/>
      <w:lvlJc w:val="left"/>
      <w:pPr>
        <w:ind w:left="2028" w:hanging="360"/>
      </w:pPr>
    </w:lvl>
    <w:lvl w:ilvl="2" w:tplc="3809001B" w:tentative="1">
      <w:start w:val="1"/>
      <w:numFmt w:val="lowerRoman"/>
      <w:lvlText w:val="%3."/>
      <w:lvlJc w:val="right"/>
      <w:pPr>
        <w:ind w:left="2748" w:hanging="180"/>
      </w:pPr>
    </w:lvl>
    <w:lvl w:ilvl="3" w:tplc="3809000F" w:tentative="1">
      <w:start w:val="1"/>
      <w:numFmt w:val="decimal"/>
      <w:lvlText w:val="%4."/>
      <w:lvlJc w:val="left"/>
      <w:pPr>
        <w:ind w:left="3468" w:hanging="360"/>
      </w:pPr>
    </w:lvl>
    <w:lvl w:ilvl="4" w:tplc="38090019" w:tentative="1">
      <w:start w:val="1"/>
      <w:numFmt w:val="lowerLetter"/>
      <w:lvlText w:val="%5."/>
      <w:lvlJc w:val="left"/>
      <w:pPr>
        <w:ind w:left="4188" w:hanging="360"/>
      </w:pPr>
    </w:lvl>
    <w:lvl w:ilvl="5" w:tplc="3809001B" w:tentative="1">
      <w:start w:val="1"/>
      <w:numFmt w:val="lowerRoman"/>
      <w:lvlText w:val="%6."/>
      <w:lvlJc w:val="right"/>
      <w:pPr>
        <w:ind w:left="4908" w:hanging="180"/>
      </w:pPr>
    </w:lvl>
    <w:lvl w:ilvl="6" w:tplc="3809000F" w:tentative="1">
      <w:start w:val="1"/>
      <w:numFmt w:val="decimal"/>
      <w:lvlText w:val="%7."/>
      <w:lvlJc w:val="left"/>
      <w:pPr>
        <w:ind w:left="5628" w:hanging="360"/>
      </w:pPr>
    </w:lvl>
    <w:lvl w:ilvl="7" w:tplc="38090019" w:tentative="1">
      <w:start w:val="1"/>
      <w:numFmt w:val="lowerLetter"/>
      <w:lvlText w:val="%8."/>
      <w:lvlJc w:val="left"/>
      <w:pPr>
        <w:ind w:left="6348" w:hanging="360"/>
      </w:pPr>
    </w:lvl>
    <w:lvl w:ilvl="8" w:tplc="3809001B" w:tentative="1">
      <w:start w:val="1"/>
      <w:numFmt w:val="lowerRoman"/>
      <w:lvlText w:val="%9."/>
      <w:lvlJc w:val="right"/>
      <w:pPr>
        <w:ind w:left="7068" w:hanging="180"/>
      </w:pPr>
    </w:lvl>
  </w:abstractNum>
  <w:abstractNum w:abstractNumId="16" w15:restartNumberingAfterBreak="0">
    <w:nsid w:val="30F71DCF"/>
    <w:multiLevelType w:val="hybridMultilevel"/>
    <w:tmpl w:val="6D387ED6"/>
    <w:lvl w:ilvl="0" w:tplc="962A4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14FD8"/>
    <w:multiLevelType w:val="hybridMultilevel"/>
    <w:tmpl w:val="A9383DD4"/>
    <w:lvl w:ilvl="0" w:tplc="4CBAF9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6122D"/>
    <w:multiLevelType w:val="hybridMultilevel"/>
    <w:tmpl w:val="4EC6844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B3B07DA"/>
    <w:multiLevelType w:val="hybridMultilevel"/>
    <w:tmpl w:val="E62E18E0"/>
    <w:lvl w:ilvl="0" w:tplc="D858556A">
      <w:start w:val="1"/>
      <w:numFmt w:val="decimal"/>
      <w:lvlText w:val="(%1)"/>
      <w:lvlJc w:val="left"/>
      <w:pPr>
        <w:ind w:left="720" w:hanging="360"/>
      </w:pPr>
      <w:rPr>
        <w:rFonts w:hint="default"/>
      </w:rPr>
    </w:lvl>
    <w:lvl w:ilvl="1" w:tplc="9A786C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37CB3"/>
    <w:multiLevelType w:val="hybridMultilevel"/>
    <w:tmpl w:val="864EE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703F2A"/>
    <w:multiLevelType w:val="hybridMultilevel"/>
    <w:tmpl w:val="90160C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550E7"/>
    <w:multiLevelType w:val="hybridMultilevel"/>
    <w:tmpl w:val="4B5A2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74842"/>
    <w:multiLevelType w:val="hybridMultilevel"/>
    <w:tmpl w:val="9DA0B3CC"/>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972FB0"/>
    <w:multiLevelType w:val="hybridMultilevel"/>
    <w:tmpl w:val="6D245BB0"/>
    <w:lvl w:ilvl="0" w:tplc="4CBAF9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56B2A"/>
    <w:multiLevelType w:val="hybridMultilevel"/>
    <w:tmpl w:val="F58E0AC0"/>
    <w:lvl w:ilvl="0" w:tplc="B84CF2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11F44"/>
    <w:multiLevelType w:val="hybridMultilevel"/>
    <w:tmpl w:val="2FD0BE46"/>
    <w:lvl w:ilvl="0" w:tplc="0409000F">
      <w:start w:val="1"/>
      <w:numFmt w:val="decimal"/>
      <w:lvlText w:val="%1."/>
      <w:lvlJc w:val="left"/>
      <w:pPr>
        <w:ind w:left="360" w:hanging="360"/>
      </w:pPr>
    </w:lvl>
    <w:lvl w:ilvl="1" w:tplc="94169C6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1B39EB"/>
    <w:multiLevelType w:val="hybridMultilevel"/>
    <w:tmpl w:val="4A005A08"/>
    <w:lvl w:ilvl="0" w:tplc="EBD29310">
      <w:start w:val="1"/>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341BB"/>
    <w:multiLevelType w:val="hybridMultilevel"/>
    <w:tmpl w:val="E7CE46B2"/>
    <w:lvl w:ilvl="0" w:tplc="B84CF2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A171B"/>
    <w:multiLevelType w:val="hybridMultilevel"/>
    <w:tmpl w:val="FF920E68"/>
    <w:lvl w:ilvl="0" w:tplc="1CBCE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B144E"/>
    <w:multiLevelType w:val="hybridMultilevel"/>
    <w:tmpl w:val="70608738"/>
    <w:lvl w:ilvl="0" w:tplc="4CBAF9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E5174"/>
    <w:multiLevelType w:val="hybridMultilevel"/>
    <w:tmpl w:val="1122BD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0D37F0"/>
    <w:multiLevelType w:val="hybridMultilevel"/>
    <w:tmpl w:val="31584A0A"/>
    <w:lvl w:ilvl="0" w:tplc="664255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A38BE"/>
    <w:multiLevelType w:val="hybridMultilevel"/>
    <w:tmpl w:val="CC86CB6A"/>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EE5D7F"/>
    <w:multiLevelType w:val="hybridMultilevel"/>
    <w:tmpl w:val="CCF6813E"/>
    <w:lvl w:ilvl="0" w:tplc="94E0BDFA">
      <w:start w:val="1"/>
      <w:numFmt w:val="decimal"/>
      <w:lvlText w:val="(%1)"/>
      <w:lvlJc w:val="left"/>
      <w:pPr>
        <w:ind w:left="720" w:hanging="360"/>
      </w:pPr>
      <w:rPr>
        <w:rFonts w:hint="default"/>
      </w:rPr>
    </w:lvl>
    <w:lvl w:ilvl="1" w:tplc="99086A0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C23FBD"/>
    <w:multiLevelType w:val="hybridMultilevel"/>
    <w:tmpl w:val="D6FE6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23F16"/>
    <w:multiLevelType w:val="hybridMultilevel"/>
    <w:tmpl w:val="91CA84BE"/>
    <w:lvl w:ilvl="0" w:tplc="518A7D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001556">
    <w:abstractNumId w:val="0"/>
  </w:num>
  <w:num w:numId="2" w16cid:durableId="378284408">
    <w:abstractNumId w:val="12"/>
  </w:num>
  <w:num w:numId="3" w16cid:durableId="588545835">
    <w:abstractNumId w:val="20"/>
  </w:num>
  <w:num w:numId="4" w16cid:durableId="2007783081">
    <w:abstractNumId w:val="33"/>
  </w:num>
  <w:num w:numId="5" w16cid:durableId="1680303557">
    <w:abstractNumId w:val="26"/>
  </w:num>
  <w:num w:numId="6" w16cid:durableId="1896358036">
    <w:abstractNumId w:val="13"/>
  </w:num>
  <w:num w:numId="7" w16cid:durableId="110588639">
    <w:abstractNumId w:val="18"/>
  </w:num>
  <w:num w:numId="8" w16cid:durableId="487595805">
    <w:abstractNumId w:val="23"/>
  </w:num>
  <w:num w:numId="9" w16cid:durableId="1368604533">
    <w:abstractNumId w:val="1"/>
  </w:num>
  <w:num w:numId="10" w16cid:durableId="650982880">
    <w:abstractNumId w:val="10"/>
  </w:num>
  <w:num w:numId="11" w16cid:durableId="239142075">
    <w:abstractNumId w:val="21"/>
  </w:num>
  <w:num w:numId="12" w16cid:durableId="580793534">
    <w:abstractNumId w:val="14"/>
  </w:num>
  <w:num w:numId="13" w16cid:durableId="1101949117">
    <w:abstractNumId w:val="9"/>
  </w:num>
  <w:num w:numId="14" w16cid:durableId="724254103">
    <w:abstractNumId w:val="29"/>
  </w:num>
  <w:num w:numId="15" w16cid:durableId="1533306003">
    <w:abstractNumId w:val="32"/>
  </w:num>
  <w:num w:numId="16" w16cid:durableId="257956720">
    <w:abstractNumId w:val="2"/>
  </w:num>
  <w:num w:numId="17" w16cid:durableId="1455904427">
    <w:abstractNumId w:val="36"/>
  </w:num>
  <w:num w:numId="18" w16cid:durableId="64960474">
    <w:abstractNumId w:val="19"/>
  </w:num>
  <w:num w:numId="19" w16cid:durableId="1259025849">
    <w:abstractNumId w:val="7"/>
  </w:num>
  <w:num w:numId="20" w16cid:durableId="1939095968">
    <w:abstractNumId w:val="25"/>
  </w:num>
  <w:num w:numId="21" w16cid:durableId="1785689584">
    <w:abstractNumId w:val="28"/>
  </w:num>
  <w:num w:numId="22" w16cid:durableId="978874317">
    <w:abstractNumId w:val="11"/>
  </w:num>
  <w:num w:numId="23" w16cid:durableId="1061249955">
    <w:abstractNumId w:val="16"/>
  </w:num>
  <w:num w:numId="24" w16cid:durableId="1775243032">
    <w:abstractNumId w:val="3"/>
  </w:num>
  <w:num w:numId="25" w16cid:durableId="2035885717">
    <w:abstractNumId w:val="34"/>
  </w:num>
  <w:num w:numId="26" w16cid:durableId="1589002438">
    <w:abstractNumId w:val="8"/>
  </w:num>
  <w:num w:numId="27" w16cid:durableId="888347757">
    <w:abstractNumId w:val="30"/>
  </w:num>
  <w:num w:numId="28" w16cid:durableId="442772573">
    <w:abstractNumId w:val="17"/>
  </w:num>
  <w:num w:numId="29" w16cid:durableId="446857205">
    <w:abstractNumId w:val="24"/>
  </w:num>
  <w:num w:numId="30" w16cid:durableId="1062215217">
    <w:abstractNumId w:val="27"/>
  </w:num>
  <w:num w:numId="31" w16cid:durableId="1933198300">
    <w:abstractNumId w:val="4"/>
  </w:num>
  <w:num w:numId="32" w16cid:durableId="1551383049">
    <w:abstractNumId w:val="22"/>
  </w:num>
  <w:num w:numId="33" w16cid:durableId="338435446">
    <w:abstractNumId w:val="31"/>
  </w:num>
  <w:num w:numId="34" w16cid:durableId="542449231">
    <w:abstractNumId w:val="6"/>
  </w:num>
  <w:num w:numId="35" w16cid:durableId="1048146784">
    <w:abstractNumId w:val="35"/>
  </w:num>
  <w:num w:numId="36" w16cid:durableId="1020282865">
    <w:abstractNumId w:val="5"/>
  </w:num>
  <w:num w:numId="37" w16cid:durableId="694693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43"/>
    <w:rsid w:val="00003D56"/>
    <w:rsid w:val="000043A3"/>
    <w:rsid w:val="00043B50"/>
    <w:rsid w:val="00090069"/>
    <w:rsid w:val="000B540C"/>
    <w:rsid w:val="000D7F45"/>
    <w:rsid w:val="00111E7A"/>
    <w:rsid w:val="001448A8"/>
    <w:rsid w:val="00150938"/>
    <w:rsid w:val="00153895"/>
    <w:rsid w:val="00155E4F"/>
    <w:rsid w:val="0017497C"/>
    <w:rsid w:val="00175B5D"/>
    <w:rsid w:val="001B61CA"/>
    <w:rsid w:val="001B7D94"/>
    <w:rsid w:val="001D0EA1"/>
    <w:rsid w:val="002071EF"/>
    <w:rsid w:val="00207604"/>
    <w:rsid w:val="00222878"/>
    <w:rsid w:val="002607BC"/>
    <w:rsid w:val="002C509B"/>
    <w:rsid w:val="002F0432"/>
    <w:rsid w:val="002F1957"/>
    <w:rsid w:val="00313D46"/>
    <w:rsid w:val="00332929"/>
    <w:rsid w:val="003621CD"/>
    <w:rsid w:val="003A110C"/>
    <w:rsid w:val="003A47F4"/>
    <w:rsid w:val="003A54FD"/>
    <w:rsid w:val="003D47C0"/>
    <w:rsid w:val="003E0105"/>
    <w:rsid w:val="003F7FF5"/>
    <w:rsid w:val="004179A9"/>
    <w:rsid w:val="00451E6F"/>
    <w:rsid w:val="004A6A55"/>
    <w:rsid w:val="004B637D"/>
    <w:rsid w:val="004B6E45"/>
    <w:rsid w:val="004D3395"/>
    <w:rsid w:val="004E50CE"/>
    <w:rsid w:val="00513F93"/>
    <w:rsid w:val="0053653C"/>
    <w:rsid w:val="0054573A"/>
    <w:rsid w:val="0056761E"/>
    <w:rsid w:val="00602082"/>
    <w:rsid w:val="0060629B"/>
    <w:rsid w:val="0063435A"/>
    <w:rsid w:val="00644398"/>
    <w:rsid w:val="00644476"/>
    <w:rsid w:val="00646D4B"/>
    <w:rsid w:val="006959C4"/>
    <w:rsid w:val="006B6805"/>
    <w:rsid w:val="006C12F1"/>
    <w:rsid w:val="006E26AC"/>
    <w:rsid w:val="006E6319"/>
    <w:rsid w:val="0070111C"/>
    <w:rsid w:val="007064AC"/>
    <w:rsid w:val="00723131"/>
    <w:rsid w:val="007417F9"/>
    <w:rsid w:val="0076017C"/>
    <w:rsid w:val="0079646F"/>
    <w:rsid w:val="007B3190"/>
    <w:rsid w:val="007C6543"/>
    <w:rsid w:val="007D04BC"/>
    <w:rsid w:val="007E039E"/>
    <w:rsid w:val="008217B0"/>
    <w:rsid w:val="00837D00"/>
    <w:rsid w:val="00883D18"/>
    <w:rsid w:val="008911A2"/>
    <w:rsid w:val="00891CEE"/>
    <w:rsid w:val="008B11CF"/>
    <w:rsid w:val="008B1757"/>
    <w:rsid w:val="008B5508"/>
    <w:rsid w:val="008C2284"/>
    <w:rsid w:val="008D2827"/>
    <w:rsid w:val="00933161"/>
    <w:rsid w:val="00943198"/>
    <w:rsid w:val="0096253F"/>
    <w:rsid w:val="009711F5"/>
    <w:rsid w:val="00995694"/>
    <w:rsid w:val="009A79B3"/>
    <w:rsid w:val="009B4B0B"/>
    <w:rsid w:val="009C41BF"/>
    <w:rsid w:val="009E1AD1"/>
    <w:rsid w:val="009F19BA"/>
    <w:rsid w:val="00A03623"/>
    <w:rsid w:val="00A15B1B"/>
    <w:rsid w:val="00A221B3"/>
    <w:rsid w:val="00A351D0"/>
    <w:rsid w:val="00A44D4B"/>
    <w:rsid w:val="00A67C72"/>
    <w:rsid w:val="00A76C24"/>
    <w:rsid w:val="00A83E7C"/>
    <w:rsid w:val="00A843F1"/>
    <w:rsid w:val="00A85B99"/>
    <w:rsid w:val="00A955FC"/>
    <w:rsid w:val="00AA7953"/>
    <w:rsid w:val="00AB1B27"/>
    <w:rsid w:val="00B06B72"/>
    <w:rsid w:val="00B12145"/>
    <w:rsid w:val="00B13F3A"/>
    <w:rsid w:val="00B22DE5"/>
    <w:rsid w:val="00B343E3"/>
    <w:rsid w:val="00B55A90"/>
    <w:rsid w:val="00B60A51"/>
    <w:rsid w:val="00B70F2C"/>
    <w:rsid w:val="00B74F41"/>
    <w:rsid w:val="00B829BA"/>
    <w:rsid w:val="00B9253F"/>
    <w:rsid w:val="00B95EC5"/>
    <w:rsid w:val="00BA7E77"/>
    <w:rsid w:val="00BB1703"/>
    <w:rsid w:val="00C05F99"/>
    <w:rsid w:val="00C4571E"/>
    <w:rsid w:val="00C5542F"/>
    <w:rsid w:val="00C97B76"/>
    <w:rsid w:val="00CA0670"/>
    <w:rsid w:val="00CC4BB8"/>
    <w:rsid w:val="00CF6B7A"/>
    <w:rsid w:val="00D60A60"/>
    <w:rsid w:val="00D62337"/>
    <w:rsid w:val="00D65ACC"/>
    <w:rsid w:val="00D71CFA"/>
    <w:rsid w:val="00D96791"/>
    <w:rsid w:val="00DC3E4E"/>
    <w:rsid w:val="00DD419A"/>
    <w:rsid w:val="00E01E7C"/>
    <w:rsid w:val="00E205AC"/>
    <w:rsid w:val="00E20FD1"/>
    <w:rsid w:val="00E356E7"/>
    <w:rsid w:val="00E4036D"/>
    <w:rsid w:val="00E50AA8"/>
    <w:rsid w:val="00E50F12"/>
    <w:rsid w:val="00E67919"/>
    <w:rsid w:val="00E75E85"/>
    <w:rsid w:val="00E906E7"/>
    <w:rsid w:val="00E962CE"/>
    <w:rsid w:val="00EA7D22"/>
    <w:rsid w:val="00EC4CDB"/>
    <w:rsid w:val="00ED5ABF"/>
    <w:rsid w:val="00F25355"/>
    <w:rsid w:val="00F37D75"/>
    <w:rsid w:val="00F42F4A"/>
    <w:rsid w:val="00F46C40"/>
    <w:rsid w:val="00F559C2"/>
    <w:rsid w:val="00F70487"/>
    <w:rsid w:val="00F90265"/>
    <w:rsid w:val="00FE09F9"/>
    <w:rsid w:val="00FF2BE7"/>
    <w:rsid w:val="00FF4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4E7AF"/>
  <w15:chartTrackingRefBased/>
  <w15:docId w15:val="{4E55098C-077D-4BD8-928D-1934E67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B0"/>
  </w:style>
  <w:style w:type="paragraph" w:styleId="Heading1">
    <w:name w:val="heading 1"/>
    <w:basedOn w:val="Normal"/>
    <w:next w:val="Normal"/>
    <w:link w:val="Heading1Char"/>
    <w:uiPriority w:val="9"/>
    <w:qFormat/>
    <w:rsid w:val="00150938"/>
    <w:pPr>
      <w:keepNext/>
      <w:spacing w:after="0" w:line="480" w:lineRule="auto"/>
      <w:jc w:val="center"/>
      <w:outlineLvl w:val="0"/>
    </w:pPr>
    <w:rPr>
      <w:rFonts w:ascii="Times New Roman" w:eastAsia="Times New Roman" w:hAnsi="Times New Roman" w:cs="Times New Roman"/>
      <w:b/>
      <w:bCs/>
      <w:sz w:val="20"/>
      <w:szCs w:val="20"/>
      <w:lang w:val="id-ID" w:eastAsia="en-ID"/>
    </w:rPr>
  </w:style>
  <w:style w:type="paragraph" w:styleId="Heading2">
    <w:name w:val="heading 2"/>
    <w:basedOn w:val="Normal"/>
    <w:next w:val="Normal"/>
    <w:link w:val="Heading2Char"/>
    <w:uiPriority w:val="9"/>
    <w:semiHidden/>
    <w:unhideWhenUsed/>
    <w:qFormat/>
    <w:rsid w:val="00150938"/>
    <w:pPr>
      <w:keepNext/>
      <w:spacing w:before="240" w:after="60" w:line="240" w:lineRule="auto"/>
      <w:outlineLvl w:val="1"/>
    </w:pPr>
    <w:rPr>
      <w:rFonts w:ascii="Arial" w:eastAsia="Times New Roman" w:hAnsi="Arial" w:cs="Arial"/>
      <w:b/>
      <w:bCs/>
      <w:i/>
      <w:iCs/>
      <w:sz w:val="28"/>
      <w:szCs w:val="28"/>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C6543"/>
    <w:pPr>
      <w:ind w:left="720"/>
      <w:contextualSpacing/>
    </w:pPr>
  </w:style>
  <w:style w:type="paragraph" w:styleId="NormalWeb">
    <w:name w:val="Normal (Web)"/>
    <w:basedOn w:val="Normal"/>
    <w:uiPriority w:val="99"/>
    <w:unhideWhenUsed/>
    <w:rsid w:val="007C6543"/>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7C6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543"/>
  </w:style>
  <w:style w:type="paragraph" w:styleId="Header">
    <w:name w:val="header"/>
    <w:basedOn w:val="Normal"/>
    <w:link w:val="HeaderChar"/>
    <w:uiPriority w:val="99"/>
    <w:unhideWhenUsed/>
    <w:rsid w:val="007C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543"/>
  </w:style>
  <w:style w:type="character" w:styleId="Hyperlink">
    <w:name w:val="Hyperlink"/>
    <w:basedOn w:val="DefaultParagraphFont"/>
    <w:uiPriority w:val="99"/>
    <w:unhideWhenUsed/>
    <w:rsid w:val="00DC3E4E"/>
    <w:rPr>
      <w:color w:val="0563C1" w:themeColor="hyperlink"/>
      <w:u w:val="single"/>
    </w:rPr>
  </w:style>
  <w:style w:type="character" w:styleId="UnresolvedMention">
    <w:name w:val="Unresolved Mention"/>
    <w:basedOn w:val="DefaultParagraphFont"/>
    <w:uiPriority w:val="99"/>
    <w:semiHidden/>
    <w:unhideWhenUsed/>
    <w:rsid w:val="00DC3E4E"/>
    <w:rPr>
      <w:color w:val="605E5C"/>
      <w:shd w:val="clear" w:color="auto" w:fill="E1DFDD"/>
    </w:rPr>
  </w:style>
  <w:style w:type="paragraph" w:styleId="Title">
    <w:name w:val="Title"/>
    <w:basedOn w:val="Normal"/>
    <w:link w:val="TitleChar"/>
    <w:uiPriority w:val="10"/>
    <w:qFormat/>
    <w:rsid w:val="00883D18"/>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uiPriority w:val="10"/>
    <w:rsid w:val="00883D18"/>
    <w:rPr>
      <w:rFonts w:ascii="Times New Roman" w:eastAsia="Times New Roman" w:hAnsi="Times New Roman" w:cs="Times New Roman"/>
      <w:b/>
      <w:bCs/>
      <w:sz w:val="28"/>
      <w:szCs w:val="24"/>
      <w:lang w:val="id-ID"/>
    </w:rPr>
  </w:style>
  <w:style w:type="paragraph" w:customStyle="1" w:styleId="yange2">
    <w:name w:val="yange2"/>
    <w:basedOn w:val="Normal"/>
    <w:rsid w:val="00A955FC"/>
    <w:pPr>
      <w:numPr>
        <w:numId w:val="9"/>
      </w:numPr>
      <w:spacing w:after="0" w:line="240" w:lineRule="auto"/>
      <w:jc w:val="both"/>
    </w:pPr>
    <w:rPr>
      <w:rFonts w:ascii="Arial" w:eastAsia="Times New Roman" w:hAnsi="Arial" w:cs="Arial"/>
      <w:sz w:val="20"/>
      <w:szCs w:val="24"/>
      <w:lang w:val="id-ID"/>
    </w:rPr>
  </w:style>
  <w:style w:type="table" w:styleId="TableGrid">
    <w:name w:val="Table Grid"/>
    <w:basedOn w:val="TableNormal"/>
    <w:uiPriority w:val="39"/>
    <w:rsid w:val="000D7F45"/>
    <w:pPr>
      <w:spacing w:after="0" w:line="240" w:lineRule="auto"/>
    </w:pPr>
    <w:rPr>
      <w:rFonts w:ascii="Times New Roman" w:eastAsia="Times New Roman" w:hAnsi="Times New Roman" w:cs="Times New Roman"/>
      <w:sz w:val="20"/>
      <w:szCs w:val="20"/>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0938"/>
    <w:rPr>
      <w:rFonts w:ascii="Times New Roman" w:eastAsia="Times New Roman" w:hAnsi="Times New Roman" w:cs="Times New Roman"/>
      <w:b/>
      <w:bCs/>
      <w:sz w:val="20"/>
      <w:szCs w:val="20"/>
      <w:lang w:val="id-ID" w:eastAsia="en-ID"/>
    </w:rPr>
  </w:style>
  <w:style w:type="character" w:customStyle="1" w:styleId="Heading2Char">
    <w:name w:val="Heading 2 Char"/>
    <w:basedOn w:val="DefaultParagraphFont"/>
    <w:link w:val="Heading2"/>
    <w:uiPriority w:val="9"/>
    <w:semiHidden/>
    <w:rsid w:val="00150938"/>
    <w:rPr>
      <w:rFonts w:ascii="Arial" w:eastAsia="Times New Roman" w:hAnsi="Arial" w:cs="Arial"/>
      <w:b/>
      <w:bCs/>
      <w:i/>
      <w:iCs/>
      <w:sz w:val="28"/>
      <w:szCs w:val="28"/>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4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fi@jgu.ac.id"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2681</Words>
  <Characters>14362</Characters>
  <Application>Microsoft Office Word</Application>
  <DocSecurity>0</DocSecurity>
  <Lines>119</Lines>
  <Paragraphs>34</Paragraphs>
  <ScaleCrop>false</ScaleCrop>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 edi rustanto</dc:creator>
  <cp:keywords/>
  <dc:description/>
  <cp:lastModifiedBy>agung edi rustanto</cp:lastModifiedBy>
  <cp:revision>73</cp:revision>
  <cp:lastPrinted>2023-09-03T02:45:00Z</cp:lastPrinted>
  <dcterms:created xsi:type="dcterms:W3CDTF">2023-09-07T07:46:00Z</dcterms:created>
  <dcterms:modified xsi:type="dcterms:W3CDTF">2023-11-20T05:38:00Z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17b039bd8b797e41ff651afeedad92bf4db7a76027ec1e34827d82bea6158d18</vt:lpwstr>
  </property>
</Properties>
</file>